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1E" w:rsidRDefault="0053441E" w:rsidP="00412D3B">
      <w:pPr>
        <w:jc w:val="center"/>
        <w:rPr>
          <w:rFonts w:ascii="Arial" w:hAnsi="Arial" w:cs="Arial"/>
          <w:b/>
          <w:sz w:val="28"/>
          <w:szCs w:val="28"/>
        </w:rPr>
      </w:pPr>
      <w:bookmarkStart w:id="0" w:name="_GoBack"/>
      <w:bookmarkEnd w:id="0"/>
    </w:p>
    <w:p w:rsidR="0053441E" w:rsidRDefault="0053441E"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1827AF" w:rsidRDefault="001827AF" w:rsidP="00412D3B">
      <w:pPr>
        <w:jc w:val="center"/>
        <w:rPr>
          <w:rFonts w:ascii="Arial" w:hAnsi="Arial" w:cs="Arial"/>
          <w:b/>
          <w:sz w:val="28"/>
          <w:szCs w:val="28"/>
        </w:rPr>
      </w:pPr>
    </w:p>
    <w:p w:rsidR="008276DC" w:rsidRPr="007678FC" w:rsidRDefault="008276DC" w:rsidP="00412D3B">
      <w:pPr>
        <w:jc w:val="center"/>
        <w:rPr>
          <w:rFonts w:ascii="Arial" w:hAnsi="Arial" w:cs="Arial"/>
          <w:b/>
          <w:sz w:val="28"/>
          <w:szCs w:val="28"/>
        </w:rPr>
      </w:pPr>
      <w:r w:rsidRPr="007678FC">
        <w:rPr>
          <w:rFonts w:ascii="Arial" w:hAnsi="Arial" w:cs="Arial"/>
          <w:b/>
          <w:sz w:val="28"/>
          <w:szCs w:val="28"/>
        </w:rPr>
        <w:t xml:space="preserve">Vermont </w:t>
      </w:r>
      <w:r w:rsidR="0019320E" w:rsidRPr="007678FC">
        <w:rPr>
          <w:rFonts w:ascii="Arial" w:hAnsi="Arial" w:cs="Arial"/>
          <w:b/>
          <w:sz w:val="28"/>
          <w:szCs w:val="28"/>
        </w:rPr>
        <w:t>Blueprint</w:t>
      </w:r>
      <w:r w:rsidR="00BC6BAE" w:rsidRPr="007678FC">
        <w:rPr>
          <w:rFonts w:ascii="Arial" w:hAnsi="Arial" w:cs="Arial"/>
          <w:b/>
          <w:sz w:val="28"/>
          <w:szCs w:val="28"/>
        </w:rPr>
        <w:t xml:space="preserve"> f</w:t>
      </w:r>
      <w:r w:rsidRPr="007678FC">
        <w:rPr>
          <w:rFonts w:ascii="Arial" w:hAnsi="Arial" w:cs="Arial"/>
          <w:b/>
          <w:sz w:val="28"/>
          <w:szCs w:val="28"/>
        </w:rPr>
        <w:t>or Health</w:t>
      </w:r>
    </w:p>
    <w:p w:rsidR="0019320E" w:rsidRPr="007678FC" w:rsidRDefault="0019320E" w:rsidP="00412D3B">
      <w:pPr>
        <w:jc w:val="center"/>
        <w:rPr>
          <w:rFonts w:ascii="Arial" w:hAnsi="Arial" w:cs="Arial"/>
          <w:b/>
          <w:sz w:val="28"/>
          <w:szCs w:val="28"/>
        </w:rPr>
      </w:pPr>
      <w:r w:rsidRPr="007678FC">
        <w:rPr>
          <w:rFonts w:ascii="Arial" w:hAnsi="Arial" w:cs="Arial"/>
          <w:b/>
          <w:sz w:val="28"/>
          <w:szCs w:val="28"/>
        </w:rPr>
        <w:t>Manual</w:t>
      </w:r>
    </w:p>
    <w:p w:rsidR="0053441E" w:rsidRPr="007678FC" w:rsidRDefault="0053441E" w:rsidP="00412D3B">
      <w:pPr>
        <w:jc w:val="center"/>
        <w:rPr>
          <w:rFonts w:ascii="Arial" w:hAnsi="Arial" w:cs="Arial"/>
          <w:b/>
          <w:sz w:val="28"/>
          <w:szCs w:val="28"/>
        </w:rPr>
      </w:pPr>
    </w:p>
    <w:p w:rsidR="0053441E" w:rsidRPr="007678FC" w:rsidRDefault="00A62D49" w:rsidP="00412D3B">
      <w:pPr>
        <w:jc w:val="center"/>
        <w:rPr>
          <w:rFonts w:ascii="Arial" w:hAnsi="Arial" w:cs="Arial"/>
        </w:rPr>
      </w:pPr>
      <w:r w:rsidRPr="0045394D">
        <w:rPr>
          <w:rFonts w:ascii="Arial" w:hAnsi="Arial" w:cs="Arial"/>
        </w:rPr>
        <w:t xml:space="preserve">Effective </w:t>
      </w:r>
      <w:r w:rsidR="00D62B8B" w:rsidRPr="0045394D">
        <w:rPr>
          <w:rFonts w:ascii="Arial" w:hAnsi="Arial" w:cs="Arial"/>
        </w:rPr>
        <w:t xml:space="preserve">October </w:t>
      </w:r>
      <w:r w:rsidR="00BC6BAE" w:rsidRPr="0045394D">
        <w:rPr>
          <w:rFonts w:ascii="Arial" w:hAnsi="Arial" w:cs="Arial"/>
        </w:rPr>
        <w:t xml:space="preserve">1, </w:t>
      </w:r>
      <w:r w:rsidR="00646782" w:rsidRPr="0045394D">
        <w:rPr>
          <w:rFonts w:ascii="Arial" w:hAnsi="Arial" w:cs="Arial"/>
        </w:rPr>
        <w:t>201</w:t>
      </w:r>
      <w:r w:rsidR="0045394D" w:rsidRPr="0045394D">
        <w:rPr>
          <w:rFonts w:ascii="Arial" w:hAnsi="Arial" w:cs="Arial"/>
        </w:rPr>
        <w:t>8</w:t>
      </w:r>
    </w:p>
    <w:p w:rsidR="008276DC" w:rsidRPr="007678FC" w:rsidRDefault="008276DC" w:rsidP="008276DC"/>
    <w:p w:rsidR="008276DC" w:rsidRPr="007678FC" w:rsidRDefault="008276DC" w:rsidP="008276DC"/>
    <w:p w:rsidR="008276DC" w:rsidRPr="007678FC" w:rsidRDefault="008276DC" w:rsidP="008276DC">
      <w:pPr>
        <w:jc w:val="center"/>
        <w:rPr>
          <w:rFonts w:ascii="Arial" w:eastAsia="Times New Roman" w:hAnsi="Arial" w:cs="Arial"/>
          <w:color w:val="000000"/>
          <w:sz w:val="22"/>
          <w:szCs w:val="22"/>
        </w:rPr>
      </w:pPr>
      <w:r w:rsidRPr="007678FC">
        <w:rPr>
          <w:rFonts w:ascii="Arial" w:eastAsia="Times New Roman" w:hAnsi="Arial" w:cs="Arial"/>
          <w:color w:val="000000"/>
          <w:sz w:val="22"/>
          <w:szCs w:val="22"/>
        </w:rPr>
        <w:t xml:space="preserve">Department of </w:t>
      </w:r>
      <w:smartTag w:uri="urn:schemas-microsoft-com:office:smarttags" w:element="State">
        <w:smartTag w:uri="urn:schemas-microsoft-com:office:smarttags" w:element="place">
          <w:r w:rsidRPr="007678FC">
            <w:rPr>
              <w:rFonts w:ascii="Arial" w:eastAsia="Times New Roman" w:hAnsi="Arial" w:cs="Arial"/>
              <w:color w:val="000000"/>
              <w:sz w:val="22"/>
              <w:szCs w:val="22"/>
            </w:rPr>
            <w:t>Vermont</w:t>
          </w:r>
        </w:smartTag>
      </w:smartTag>
      <w:r w:rsidRPr="007678FC">
        <w:rPr>
          <w:rFonts w:ascii="Arial" w:eastAsia="Times New Roman" w:hAnsi="Arial" w:cs="Arial"/>
          <w:color w:val="000000"/>
          <w:sz w:val="22"/>
          <w:szCs w:val="22"/>
        </w:rPr>
        <w:t xml:space="preserve"> Health Access</w:t>
      </w:r>
    </w:p>
    <w:p w:rsidR="008276DC" w:rsidRPr="007678FC" w:rsidRDefault="00321833" w:rsidP="008276DC">
      <w:pPr>
        <w:jc w:val="center"/>
        <w:rPr>
          <w:rFonts w:ascii="Arial" w:eastAsia="Times New Roman" w:hAnsi="Arial" w:cs="Arial"/>
          <w:color w:val="000000"/>
          <w:sz w:val="22"/>
          <w:szCs w:val="22"/>
        </w:rPr>
      </w:pPr>
      <w:r>
        <w:rPr>
          <w:rFonts w:ascii="Arial" w:eastAsia="Times New Roman" w:hAnsi="Arial" w:cs="Arial"/>
          <w:color w:val="000000"/>
          <w:sz w:val="22"/>
          <w:szCs w:val="22"/>
        </w:rPr>
        <w:t>Blueprint for Health</w:t>
      </w:r>
    </w:p>
    <w:p w:rsidR="008276DC" w:rsidRDefault="00321833" w:rsidP="008276DC">
      <w:pPr>
        <w:jc w:val="center"/>
        <w:rPr>
          <w:rFonts w:ascii="Arial" w:eastAsia="Times New Roman" w:hAnsi="Arial" w:cs="Arial"/>
          <w:color w:val="000000"/>
          <w:sz w:val="22"/>
          <w:szCs w:val="22"/>
        </w:rPr>
      </w:pPr>
      <w:r>
        <w:rPr>
          <w:rFonts w:ascii="Arial" w:eastAsia="Times New Roman" w:hAnsi="Arial" w:cs="Arial"/>
          <w:color w:val="000000"/>
          <w:sz w:val="22"/>
          <w:szCs w:val="22"/>
        </w:rPr>
        <w:t>NOB 1 South</w:t>
      </w:r>
    </w:p>
    <w:p w:rsidR="00321833" w:rsidRDefault="00321833" w:rsidP="008276DC">
      <w:pPr>
        <w:jc w:val="center"/>
        <w:rPr>
          <w:rFonts w:ascii="Arial" w:eastAsia="Times New Roman" w:hAnsi="Arial" w:cs="Arial"/>
          <w:color w:val="000000"/>
          <w:sz w:val="22"/>
          <w:szCs w:val="22"/>
        </w:rPr>
      </w:pPr>
      <w:r>
        <w:rPr>
          <w:rFonts w:ascii="Arial" w:eastAsia="Times New Roman" w:hAnsi="Arial" w:cs="Arial"/>
          <w:color w:val="000000"/>
          <w:sz w:val="22"/>
          <w:szCs w:val="22"/>
        </w:rPr>
        <w:t>280 State Drive</w:t>
      </w:r>
    </w:p>
    <w:p w:rsidR="00321833" w:rsidRPr="007678FC" w:rsidRDefault="00321833" w:rsidP="008276DC">
      <w:pPr>
        <w:jc w:val="center"/>
        <w:rPr>
          <w:rFonts w:ascii="Arial" w:eastAsia="Times New Roman" w:hAnsi="Arial" w:cs="Arial"/>
          <w:color w:val="000000"/>
          <w:sz w:val="22"/>
          <w:szCs w:val="22"/>
        </w:rPr>
      </w:pPr>
      <w:r>
        <w:rPr>
          <w:rFonts w:ascii="Arial" w:eastAsia="Times New Roman" w:hAnsi="Arial" w:cs="Arial"/>
          <w:color w:val="000000"/>
          <w:sz w:val="22"/>
          <w:szCs w:val="22"/>
        </w:rPr>
        <w:t>Waterbury, VT 05671-1010</w:t>
      </w:r>
    </w:p>
    <w:p w:rsidR="00E86CBC" w:rsidRPr="007678FC" w:rsidRDefault="00AE3066" w:rsidP="00E86CBC">
      <w:pPr>
        <w:jc w:val="center"/>
        <w:rPr>
          <w:rFonts w:ascii="Arial" w:eastAsia="Times New Roman" w:hAnsi="Arial" w:cs="Arial"/>
          <w:color w:val="000000"/>
          <w:sz w:val="22"/>
          <w:szCs w:val="22"/>
        </w:rPr>
      </w:pPr>
      <w:hyperlink r:id="rId8" w:history="1">
        <w:r w:rsidR="00C2619F" w:rsidRPr="007678FC">
          <w:rPr>
            <w:rStyle w:val="Hyperlink"/>
            <w:rFonts w:ascii="Arial" w:eastAsia="Times New Roman" w:hAnsi="Arial" w:cs="Arial"/>
            <w:sz w:val="22"/>
            <w:szCs w:val="22"/>
          </w:rPr>
          <w:t>http://blueprintforhealth.vermont.gov/</w:t>
        </w:r>
      </w:hyperlink>
      <w:r w:rsidR="00C2619F" w:rsidRPr="007678FC">
        <w:rPr>
          <w:rFonts w:ascii="Arial" w:eastAsia="Times New Roman" w:hAnsi="Arial" w:cs="Arial"/>
          <w:color w:val="000000"/>
          <w:sz w:val="22"/>
          <w:szCs w:val="22"/>
        </w:rPr>
        <w:t xml:space="preserve"> </w:t>
      </w:r>
    </w:p>
    <w:p w:rsidR="00313700" w:rsidRPr="007678FC" w:rsidRDefault="00313700" w:rsidP="00E86CBC">
      <w:pPr>
        <w:jc w:val="center"/>
        <w:rPr>
          <w:rFonts w:ascii="Arial" w:eastAsia="Times New Roman" w:hAnsi="Arial" w:cs="Arial"/>
          <w:color w:val="000000"/>
          <w:sz w:val="22"/>
          <w:szCs w:val="22"/>
        </w:rPr>
      </w:pPr>
    </w:p>
    <w:p w:rsidR="00E86CBC" w:rsidRPr="007678FC" w:rsidRDefault="00E86CBC" w:rsidP="008276DC">
      <w:pPr>
        <w:jc w:val="center"/>
        <w:rPr>
          <w:rFonts w:ascii="Arial" w:eastAsia="Times New Roman" w:hAnsi="Arial" w:cs="Arial"/>
          <w:color w:val="000000"/>
          <w:sz w:val="22"/>
          <w:szCs w:val="22"/>
        </w:rPr>
      </w:pPr>
    </w:p>
    <w:p w:rsidR="008276DC" w:rsidRPr="007678FC" w:rsidRDefault="008276DC" w:rsidP="008276DC">
      <w:pPr>
        <w:jc w:val="center"/>
        <w:rPr>
          <w:rFonts w:ascii="Arial" w:eastAsia="Times New Roman" w:hAnsi="Arial" w:cs="Arial"/>
          <w:color w:val="000000"/>
          <w:sz w:val="22"/>
          <w:szCs w:val="22"/>
        </w:rPr>
      </w:pPr>
      <w:r w:rsidRPr="007678FC">
        <w:rPr>
          <w:rFonts w:ascii="Arial" w:eastAsia="Times New Roman" w:hAnsi="Arial" w:cs="Arial"/>
          <w:color w:val="000000"/>
          <w:sz w:val="22"/>
          <w:szCs w:val="22"/>
        </w:rPr>
        <w:t xml:space="preserve">Telephone:  </w:t>
      </w:r>
      <w:r w:rsidR="00095AA1" w:rsidRPr="00095AA1">
        <w:rPr>
          <w:rFonts w:ascii="Arial" w:eastAsia="Times New Roman" w:hAnsi="Arial" w:cs="Arial"/>
          <w:color w:val="000000"/>
          <w:sz w:val="22"/>
          <w:szCs w:val="22"/>
        </w:rPr>
        <w:t>802-241-0231</w:t>
      </w:r>
    </w:p>
    <w:p w:rsidR="008276DC" w:rsidRPr="007678FC" w:rsidRDefault="00E86CBC" w:rsidP="008276DC">
      <w:pPr>
        <w:jc w:val="center"/>
        <w:rPr>
          <w:rFonts w:ascii="Arial" w:eastAsia="Times New Roman" w:hAnsi="Arial" w:cs="Arial"/>
          <w:color w:val="000000"/>
          <w:sz w:val="22"/>
          <w:szCs w:val="22"/>
        </w:rPr>
      </w:pPr>
      <w:r w:rsidRPr="007678FC">
        <w:rPr>
          <w:rFonts w:ascii="Arial" w:eastAsia="Times New Roman" w:hAnsi="Arial" w:cs="Arial"/>
          <w:color w:val="000000"/>
          <w:sz w:val="22"/>
          <w:szCs w:val="22"/>
        </w:rPr>
        <w:t>Fax</w:t>
      </w:r>
      <w:r w:rsidR="00313700" w:rsidRPr="007678FC">
        <w:rPr>
          <w:rFonts w:ascii="Arial" w:eastAsia="Times New Roman" w:hAnsi="Arial" w:cs="Arial"/>
          <w:color w:val="000000"/>
          <w:sz w:val="22"/>
          <w:szCs w:val="22"/>
        </w:rPr>
        <w:t>:</w:t>
      </w:r>
      <w:r w:rsidRPr="007678FC">
        <w:rPr>
          <w:rFonts w:ascii="Arial" w:eastAsia="Times New Roman" w:hAnsi="Arial" w:cs="Arial"/>
          <w:color w:val="000000"/>
          <w:sz w:val="22"/>
          <w:szCs w:val="22"/>
        </w:rPr>
        <w:t xml:space="preserve">  </w:t>
      </w:r>
      <w:r w:rsidR="00321833">
        <w:rPr>
          <w:rFonts w:ascii="Arial" w:eastAsia="Times New Roman" w:hAnsi="Arial" w:cs="Arial"/>
          <w:color w:val="000000"/>
          <w:sz w:val="22"/>
          <w:szCs w:val="22"/>
        </w:rPr>
        <w:t>802-241-0269</w:t>
      </w:r>
    </w:p>
    <w:p w:rsidR="008276DC" w:rsidRPr="007678FC" w:rsidRDefault="008276DC" w:rsidP="008276DC">
      <w:pPr>
        <w:jc w:val="center"/>
      </w:pPr>
    </w:p>
    <w:p w:rsidR="00E86CBC" w:rsidRPr="007678FC" w:rsidRDefault="00E86CBC" w:rsidP="00EB7399"/>
    <w:p w:rsidR="00E16F90" w:rsidRDefault="00AF397F" w:rsidP="00AF397F">
      <w:pPr>
        <w:pStyle w:val="Header"/>
        <w:tabs>
          <w:tab w:val="clear" w:pos="4320"/>
          <w:tab w:val="clear" w:pos="8640"/>
          <w:tab w:val="right" w:pos="10224"/>
        </w:tabs>
        <w:jc w:val="center"/>
        <w:rPr>
          <w:rFonts w:ascii="Arial" w:hAnsi="Arial" w:cs="Arial"/>
        </w:rPr>
      </w:pPr>
      <w:r>
        <w:rPr>
          <w:rFonts w:ascii="Arial" w:hAnsi="Arial" w:cs="Arial"/>
        </w:rPr>
        <w:t xml:space="preserve">Revised: </w:t>
      </w:r>
      <w:r w:rsidR="0045394D">
        <w:rPr>
          <w:rFonts w:ascii="Arial" w:hAnsi="Arial" w:cs="Arial"/>
        </w:rPr>
        <w:t>September 2018</w:t>
      </w:r>
    </w:p>
    <w:p w:rsidR="00E16F90" w:rsidRDefault="00E16F90" w:rsidP="00AF397F">
      <w:pPr>
        <w:pStyle w:val="Header"/>
        <w:tabs>
          <w:tab w:val="clear" w:pos="4320"/>
          <w:tab w:val="clear" w:pos="8640"/>
          <w:tab w:val="right" w:pos="10224"/>
        </w:tabs>
        <w:jc w:val="center"/>
      </w:pPr>
    </w:p>
    <w:p w:rsidR="001827AF" w:rsidRDefault="001827AF">
      <w:pPr>
        <w:rPr>
          <w:rFonts w:ascii="Times New Roman" w:hAnsi="Times New Roman"/>
          <w:b/>
        </w:rPr>
      </w:pPr>
      <w:r>
        <w:rPr>
          <w:rFonts w:ascii="Times New Roman" w:hAnsi="Times New Roman"/>
          <w:b/>
        </w:rPr>
        <w:br w:type="page"/>
      </w:r>
    </w:p>
    <w:p w:rsidR="00FA7F40" w:rsidRPr="007678FC" w:rsidRDefault="0019320E" w:rsidP="00FA7F40">
      <w:pPr>
        <w:spacing w:after="120"/>
        <w:jc w:val="center"/>
        <w:rPr>
          <w:rFonts w:ascii="Times New Roman" w:hAnsi="Times New Roman"/>
          <w:b/>
        </w:rPr>
      </w:pPr>
      <w:r w:rsidRPr="007678FC">
        <w:rPr>
          <w:rFonts w:ascii="Times New Roman" w:hAnsi="Times New Roman"/>
          <w:b/>
        </w:rPr>
        <w:lastRenderedPageBreak/>
        <w:t>Table of Content</w:t>
      </w:r>
      <w:r w:rsidR="00FC0543" w:rsidRPr="007678FC">
        <w:rPr>
          <w:rFonts w:ascii="Times New Roman" w:hAnsi="Times New Roman"/>
          <w:b/>
        </w:rPr>
        <w:t>s</w:t>
      </w:r>
    </w:p>
    <w:p w:rsidR="00BA3EE7" w:rsidRDefault="00B061B7">
      <w:pPr>
        <w:pStyle w:val="TOC1"/>
        <w:rPr>
          <w:rFonts w:asciiTheme="minorHAnsi" w:eastAsiaTheme="minorEastAsia" w:hAnsiTheme="minorHAnsi" w:cstheme="minorBidi"/>
          <w:b w:val="0"/>
          <w:bCs w:val="0"/>
          <w:sz w:val="22"/>
          <w:szCs w:val="22"/>
        </w:rPr>
      </w:pPr>
      <w:r w:rsidRPr="007678FC">
        <w:rPr>
          <w:b w:val="0"/>
          <w:bCs w:val="0"/>
        </w:rPr>
        <w:fldChar w:fldCharType="begin"/>
      </w:r>
      <w:r w:rsidRPr="007678FC">
        <w:rPr>
          <w:b w:val="0"/>
          <w:bCs w:val="0"/>
        </w:rPr>
        <w:instrText xml:space="preserve"> TOC \o "1-3" \h \z \t "Appendix Subheading,2" </w:instrText>
      </w:r>
      <w:r w:rsidRPr="007678FC">
        <w:rPr>
          <w:b w:val="0"/>
          <w:bCs w:val="0"/>
        </w:rPr>
        <w:fldChar w:fldCharType="separate"/>
      </w:r>
      <w:hyperlink w:anchor="_Toc521488556" w:history="1">
        <w:r w:rsidR="00BA3EE7" w:rsidRPr="00C0400A">
          <w:rPr>
            <w:rStyle w:val="Hyperlink"/>
          </w:rPr>
          <w:t>1.</w:t>
        </w:r>
        <w:r w:rsidR="00BA3EE7">
          <w:rPr>
            <w:rFonts w:asciiTheme="minorHAnsi" w:eastAsiaTheme="minorEastAsia" w:hAnsiTheme="minorHAnsi" w:cstheme="minorBidi"/>
            <w:b w:val="0"/>
            <w:bCs w:val="0"/>
            <w:sz w:val="22"/>
            <w:szCs w:val="22"/>
          </w:rPr>
          <w:tab/>
        </w:r>
        <w:r w:rsidR="00BA3EE7" w:rsidRPr="00C0400A">
          <w:rPr>
            <w:rStyle w:val="Hyperlink"/>
          </w:rPr>
          <w:t>Introduction to Blueprint for Health Manual</w:t>
        </w:r>
        <w:r w:rsidR="00BA3EE7">
          <w:rPr>
            <w:webHidden/>
          </w:rPr>
          <w:tab/>
        </w:r>
        <w:r w:rsidR="00BA3EE7">
          <w:rPr>
            <w:webHidden/>
          </w:rPr>
          <w:fldChar w:fldCharType="begin"/>
        </w:r>
        <w:r w:rsidR="00BA3EE7">
          <w:rPr>
            <w:webHidden/>
          </w:rPr>
          <w:instrText xml:space="preserve"> PAGEREF _Toc521488556 \h </w:instrText>
        </w:r>
        <w:r w:rsidR="00BA3EE7">
          <w:rPr>
            <w:webHidden/>
          </w:rPr>
        </w:r>
        <w:r w:rsidR="00BA3EE7">
          <w:rPr>
            <w:webHidden/>
          </w:rPr>
          <w:fldChar w:fldCharType="separate"/>
        </w:r>
        <w:r w:rsidR="00BA3EE7">
          <w:rPr>
            <w:webHidden/>
          </w:rPr>
          <w:t>4</w:t>
        </w:r>
        <w:r w:rsidR="00BA3EE7">
          <w:rPr>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57" w:history="1">
        <w:r w:rsidR="00BA3EE7" w:rsidRPr="00C0400A">
          <w:rPr>
            <w:rStyle w:val="Hyperlink"/>
            <w:noProof/>
          </w:rPr>
          <w:t>1.1.</w:t>
        </w:r>
        <w:r w:rsidR="00BA3EE7">
          <w:rPr>
            <w:rFonts w:asciiTheme="minorHAnsi" w:eastAsiaTheme="minorEastAsia" w:hAnsiTheme="minorHAnsi" w:cstheme="minorBidi"/>
            <w:smallCaps w:val="0"/>
            <w:noProof/>
            <w:sz w:val="22"/>
            <w:szCs w:val="22"/>
          </w:rPr>
          <w:tab/>
        </w:r>
        <w:r w:rsidR="00BA3EE7" w:rsidRPr="00C0400A">
          <w:rPr>
            <w:rStyle w:val="Hyperlink"/>
            <w:noProof/>
          </w:rPr>
          <w:t>Intent</w:t>
        </w:r>
        <w:r w:rsidR="00BA3EE7">
          <w:rPr>
            <w:noProof/>
            <w:webHidden/>
          </w:rPr>
          <w:tab/>
        </w:r>
        <w:r w:rsidR="00BA3EE7">
          <w:rPr>
            <w:noProof/>
            <w:webHidden/>
          </w:rPr>
          <w:fldChar w:fldCharType="begin"/>
        </w:r>
        <w:r w:rsidR="00BA3EE7">
          <w:rPr>
            <w:noProof/>
            <w:webHidden/>
          </w:rPr>
          <w:instrText xml:space="preserve"> PAGEREF _Toc521488557 \h </w:instrText>
        </w:r>
        <w:r w:rsidR="00BA3EE7">
          <w:rPr>
            <w:noProof/>
            <w:webHidden/>
          </w:rPr>
        </w:r>
        <w:r w:rsidR="00BA3EE7">
          <w:rPr>
            <w:noProof/>
            <w:webHidden/>
          </w:rPr>
          <w:fldChar w:fldCharType="separate"/>
        </w:r>
        <w:r w:rsidR="00BA3EE7">
          <w:rPr>
            <w:noProof/>
            <w:webHidden/>
          </w:rPr>
          <w:t>4</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58" w:history="1">
        <w:r w:rsidR="00BA3EE7" w:rsidRPr="00C0400A">
          <w:rPr>
            <w:rStyle w:val="Hyperlink"/>
            <w:noProof/>
          </w:rPr>
          <w:t>1.2.</w:t>
        </w:r>
        <w:r w:rsidR="00BA3EE7">
          <w:rPr>
            <w:rFonts w:asciiTheme="minorHAnsi" w:eastAsiaTheme="minorEastAsia" w:hAnsiTheme="minorHAnsi" w:cstheme="minorBidi"/>
            <w:smallCaps w:val="0"/>
            <w:noProof/>
            <w:sz w:val="22"/>
            <w:szCs w:val="22"/>
          </w:rPr>
          <w:tab/>
        </w:r>
        <w:r w:rsidR="00BA3EE7" w:rsidRPr="00C0400A">
          <w:rPr>
            <w:rStyle w:val="Hyperlink"/>
            <w:noProof/>
          </w:rPr>
          <w:t>Process for Updating Blueprint for Health Manual</w:t>
        </w:r>
        <w:r w:rsidR="00BA3EE7">
          <w:rPr>
            <w:noProof/>
            <w:webHidden/>
          </w:rPr>
          <w:tab/>
        </w:r>
        <w:r w:rsidR="00BA3EE7">
          <w:rPr>
            <w:noProof/>
            <w:webHidden/>
          </w:rPr>
          <w:fldChar w:fldCharType="begin"/>
        </w:r>
        <w:r w:rsidR="00BA3EE7">
          <w:rPr>
            <w:noProof/>
            <w:webHidden/>
          </w:rPr>
          <w:instrText xml:space="preserve"> PAGEREF _Toc521488558 \h </w:instrText>
        </w:r>
        <w:r w:rsidR="00BA3EE7">
          <w:rPr>
            <w:noProof/>
            <w:webHidden/>
          </w:rPr>
        </w:r>
        <w:r w:rsidR="00BA3EE7">
          <w:rPr>
            <w:noProof/>
            <w:webHidden/>
          </w:rPr>
          <w:fldChar w:fldCharType="separate"/>
        </w:r>
        <w:r w:rsidR="00BA3EE7">
          <w:rPr>
            <w:noProof/>
            <w:webHidden/>
          </w:rPr>
          <w:t>4</w:t>
        </w:r>
        <w:r w:rsidR="00BA3EE7">
          <w:rPr>
            <w:noProof/>
            <w:webHidden/>
          </w:rPr>
          <w:fldChar w:fldCharType="end"/>
        </w:r>
      </w:hyperlink>
    </w:p>
    <w:p w:rsidR="00BA3EE7" w:rsidRDefault="00AE3066">
      <w:pPr>
        <w:pStyle w:val="TOC1"/>
        <w:rPr>
          <w:rFonts w:asciiTheme="minorHAnsi" w:eastAsiaTheme="minorEastAsia" w:hAnsiTheme="minorHAnsi" w:cstheme="minorBidi"/>
          <w:b w:val="0"/>
          <w:bCs w:val="0"/>
          <w:sz w:val="22"/>
          <w:szCs w:val="22"/>
        </w:rPr>
      </w:pPr>
      <w:hyperlink w:anchor="_Toc521488559" w:history="1">
        <w:r w:rsidR="00BA3EE7" w:rsidRPr="00C0400A">
          <w:rPr>
            <w:rStyle w:val="Hyperlink"/>
          </w:rPr>
          <w:t>2.</w:t>
        </w:r>
        <w:r w:rsidR="00BA3EE7">
          <w:rPr>
            <w:rFonts w:asciiTheme="minorHAnsi" w:eastAsiaTheme="minorEastAsia" w:hAnsiTheme="minorHAnsi" w:cstheme="minorBidi"/>
            <w:b w:val="0"/>
            <w:bCs w:val="0"/>
            <w:sz w:val="22"/>
            <w:szCs w:val="22"/>
          </w:rPr>
          <w:tab/>
        </w:r>
        <w:r w:rsidR="00BA3EE7" w:rsidRPr="00C0400A">
          <w:rPr>
            <w:rStyle w:val="Hyperlink"/>
          </w:rPr>
          <w:t>Advisory Groups</w:t>
        </w:r>
        <w:r w:rsidR="00BA3EE7">
          <w:rPr>
            <w:webHidden/>
          </w:rPr>
          <w:tab/>
        </w:r>
        <w:r w:rsidR="00BA3EE7">
          <w:rPr>
            <w:webHidden/>
          </w:rPr>
          <w:fldChar w:fldCharType="begin"/>
        </w:r>
        <w:r w:rsidR="00BA3EE7">
          <w:rPr>
            <w:webHidden/>
          </w:rPr>
          <w:instrText xml:space="preserve"> PAGEREF _Toc521488559 \h </w:instrText>
        </w:r>
        <w:r w:rsidR="00BA3EE7">
          <w:rPr>
            <w:webHidden/>
          </w:rPr>
        </w:r>
        <w:r w:rsidR="00BA3EE7">
          <w:rPr>
            <w:webHidden/>
          </w:rPr>
          <w:fldChar w:fldCharType="separate"/>
        </w:r>
        <w:r w:rsidR="00BA3EE7">
          <w:rPr>
            <w:webHidden/>
          </w:rPr>
          <w:t>5</w:t>
        </w:r>
        <w:r w:rsidR="00BA3EE7">
          <w:rPr>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60" w:history="1">
        <w:r w:rsidR="00BA3EE7" w:rsidRPr="00C0400A">
          <w:rPr>
            <w:rStyle w:val="Hyperlink"/>
            <w:noProof/>
          </w:rPr>
          <w:t>2.1.</w:t>
        </w:r>
        <w:r w:rsidR="00BA3EE7">
          <w:rPr>
            <w:rFonts w:asciiTheme="minorHAnsi" w:eastAsiaTheme="minorEastAsia" w:hAnsiTheme="minorHAnsi" w:cstheme="minorBidi"/>
            <w:smallCaps w:val="0"/>
            <w:noProof/>
            <w:sz w:val="22"/>
            <w:szCs w:val="22"/>
          </w:rPr>
          <w:tab/>
        </w:r>
        <w:r w:rsidR="00BA3EE7" w:rsidRPr="00C0400A">
          <w:rPr>
            <w:rStyle w:val="Hyperlink"/>
            <w:noProof/>
          </w:rPr>
          <w:t>Blueprint Executive Committee</w:t>
        </w:r>
        <w:r w:rsidR="00BA3EE7">
          <w:rPr>
            <w:noProof/>
            <w:webHidden/>
          </w:rPr>
          <w:tab/>
        </w:r>
        <w:r w:rsidR="00BA3EE7">
          <w:rPr>
            <w:noProof/>
            <w:webHidden/>
          </w:rPr>
          <w:fldChar w:fldCharType="begin"/>
        </w:r>
        <w:r w:rsidR="00BA3EE7">
          <w:rPr>
            <w:noProof/>
            <w:webHidden/>
          </w:rPr>
          <w:instrText xml:space="preserve"> PAGEREF _Toc521488560 \h </w:instrText>
        </w:r>
        <w:r w:rsidR="00BA3EE7">
          <w:rPr>
            <w:noProof/>
            <w:webHidden/>
          </w:rPr>
        </w:r>
        <w:r w:rsidR="00BA3EE7">
          <w:rPr>
            <w:noProof/>
            <w:webHidden/>
          </w:rPr>
          <w:fldChar w:fldCharType="separate"/>
        </w:r>
        <w:r w:rsidR="00BA3EE7">
          <w:rPr>
            <w:noProof/>
            <w:webHidden/>
          </w:rPr>
          <w:t>5</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61" w:history="1">
        <w:r w:rsidR="00BA3EE7" w:rsidRPr="00C0400A">
          <w:rPr>
            <w:rStyle w:val="Hyperlink"/>
            <w:noProof/>
          </w:rPr>
          <w:t>2.2.</w:t>
        </w:r>
        <w:r w:rsidR="00BA3EE7">
          <w:rPr>
            <w:rFonts w:asciiTheme="minorHAnsi" w:eastAsiaTheme="minorEastAsia" w:hAnsiTheme="minorHAnsi" w:cstheme="minorBidi"/>
            <w:smallCaps w:val="0"/>
            <w:noProof/>
            <w:sz w:val="22"/>
            <w:szCs w:val="22"/>
          </w:rPr>
          <w:tab/>
        </w:r>
        <w:r w:rsidR="00BA3EE7" w:rsidRPr="00C0400A">
          <w:rPr>
            <w:rStyle w:val="Hyperlink"/>
            <w:noProof/>
          </w:rPr>
          <w:t>Blueprint Expansion Design and Evaluation Committee</w:t>
        </w:r>
        <w:r w:rsidR="00BA3EE7">
          <w:rPr>
            <w:noProof/>
            <w:webHidden/>
          </w:rPr>
          <w:tab/>
        </w:r>
        <w:r w:rsidR="00BA3EE7">
          <w:rPr>
            <w:noProof/>
            <w:webHidden/>
          </w:rPr>
          <w:fldChar w:fldCharType="begin"/>
        </w:r>
        <w:r w:rsidR="00BA3EE7">
          <w:rPr>
            <w:noProof/>
            <w:webHidden/>
          </w:rPr>
          <w:instrText xml:space="preserve"> PAGEREF _Toc521488561 \h </w:instrText>
        </w:r>
        <w:r w:rsidR="00BA3EE7">
          <w:rPr>
            <w:noProof/>
            <w:webHidden/>
          </w:rPr>
        </w:r>
        <w:r w:rsidR="00BA3EE7">
          <w:rPr>
            <w:noProof/>
            <w:webHidden/>
          </w:rPr>
          <w:fldChar w:fldCharType="separate"/>
        </w:r>
        <w:r w:rsidR="00BA3EE7">
          <w:rPr>
            <w:noProof/>
            <w:webHidden/>
          </w:rPr>
          <w:t>6</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62" w:history="1">
        <w:r w:rsidR="00BA3EE7" w:rsidRPr="00C0400A">
          <w:rPr>
            <w:rStyle w:val="Hyperlink"/>
            <w:noProof/>
          </w:rPr>
          <w:t>2.3.</w:t>
        </w:r>
        <w:r w:rsidR="00BA3EE7">
          <w:rPr>
            <w:rFonts w:asciiTheme="minorHAnsi" w:eastAsiaTheme="minorEastAsia" w:hAnsiTheme="minorHAnsi" w:cstheme="minorBidi"/>
            <w:smallCaps w:val="0"/>
            <w:noProof/>
            <w:sz w:val="22"/>
            <w:szCs w:val="22"/>
          </w:rPr>
          <w:tab/>
        </w:r>
        <w:r w:rsidR="00BA3EE7" w:rsidRPr="00C0400A">
          <w:rPr>
            <w:rStyle w:val="Hyperlink"/>
            <w:noProof/>
          </w:rPr>
          <w:t>Blueprint Payment Implementation Work Group</w:t>
        </w:r>
        <w:r w:rsidR="00BA3EE7">
          <w:rPr>
            <w:noProof/>
            <w:webHidden/>
          </w:rPr>
          <w:tab/>
        </w:r>
        <w:r w:rsidR="00BA3EE7">
          <w:rPr>
            <w:noProof/>
            <w:webHidden/>
          </w:rPr>
          <w:fldChar w:fldCharType="begin"/>
        </w:r>
        <w:r w:rsidR="00BA3EE7">
          <w:rPr>
            <w:noProof/>
            <w:webHidden/>
          </w:rPr>
          <w:instrText xml:space="preserve"> PAGEREF _Toc521488562 \h </w:instrText>
        </w:r>
        <w:r w:rsidR="00BA3EE7">
          <w:rPr>
            <w:noProof/>
            <w:webHidden/>
          </w:rPr>
        </w:r>
        <w:r w:rsidR="00BA3EE7">
          <w:rPr>
            <w:noProof/>
            <w:webHidden/>
          </w:rPr>
          <w:fldChar w:fldCharType="separate"/>
        </w:r>
        <w:r w:rsidR="00BA3EE7">
          <w:rPr>
            <w:noProof/>
            <w:webHidden/>
          </w:rPr>
          <w:t>6</w:t>
        </w:r>
        <w:r w:rsidR="00BA3EE7">
          <w:rPr>
            <w:noProof/>
            <w:webHidden/>
          </w:rPr>
          <w:fldChar w:fldCharType="end"/>
        </w:r>
      </w:hyperlink>
    </w:p>
    <w:p w:rsidR="00BA3EE7" w:rsidRDefault="00AE3066">
      <w:pPr>
        <w:pStyle w:val="TOC1"/>
        <w:rPr>
          <w:rFonts w:asciiTheme="minorHAnsi" w:eastAsiaTheme="minorEastAsia" w:hAnsiTheme="minorHAnsi" w:cstheme="minorBidi"/>
          <w:b w:val="0"/>
          <w:bCs w:val="0"/>
          <w:sz w:val="22"/>
          <w:szCs w:val="22"/>
        </w:rPr>
      </w:pPr>
      <w:hyperlink w:anchor="_Toc521488563" w:history="1">
        <w:r w:rsidR="00BA3EE7" w:rsidRPr="00C0400A">
          <w:rPr>
            <w:rStyle w:val="Hyperlink"/>
          </w:rPr>
          <w:t>3.</w:t>
        </w:r>
        <w:r w:rsidR="00BA3EE7">
          <w:rPr>
            <w:rFonts w:asciiTheme="minorHAnsi" w:eastAsiaTheme="minorEastAsia" w:hAnsiTheme="minorHAnsi" w:cstheme="minorBidi"/>
            <w:b w:val="0"/>
            <w:bCs w:val="0"/>
            <w:sz w:val="22"/>
            <w:szCs w:val="22"/>
          </w:rPr>
          <w:tab/>
        </w:r>
        <w:r w:rsidR="00BA3EE7" w:rsidRPr="00C0400A">
          <w:rPr>
            <w:rStyle w:val="Hyperlink"/>
          </w:rPr>
          <w:t>Health Service Area Organization</w:t>
        </w:r>
        <w:r w:rsidR="00BA3EE7">
          <w:rPr>
            <w:webHidden/>
          </w:rPr>
          <w:tab/>
        </w:r>
        <w:r w:rsidR="00BA3EE7">
          <w:rPr>
            <w:webHidden/>
          </w:rPr>
          <w:fldChar w:fldCharType="begin"/>
        </w:r>
        <w:r w:rsidR="00BA3EE7">
          <w:rPr>
            <w:webHidden/>
          </w:rPr>
          <w:instrText xml:space="preserve"> PAGEREF _Toc521488563 \h </w:instrText>
        </w:r>
        <w:r w:rsidR="00BA3EE7">
          <w:rPr>
            <w:webHidden/>
          </w:rPr>
        </w:r>
        <w:r w:rsidR="00BA3EE7">
          <w:rPr>
            <w:webHidden/>
          </w:rPr>
          <w:fldChar w:fldCharType="separate"/>
        </w:r>
        <w:r w:rsidR="00BA3EE7">
          <w:rPr>
            <w:webHidden/>
          </w:rPr>
          <w:t>7</w:t>
        </w:r>
        <w:r w:rsidR="00BA3EE7">
          <w:rPr>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64" w:history="1">
        <w:r w:rsidR="00BA3EE7" w:rsidRPr="00C0400A">
          <w:rPr>
            <w:rStyle w:val="Hyperlink"/>
            <w:noProof/>
          </w:rPr>
          <w:t>3.1.</w:t>
        </w:r>
        <w:r w:rsidR="00BA3EE7">
          <w:rPr>
            <w:rFonts w:asciiTheme="minorHAnsi" w:eastAsiaTheme="minorEastAsia" w:hAnsiTheme="minorHAnsi" w:cstheme="minorBidi"/>
            <w:smallCaps w:val="0"/>
            <w:noProof/>
            <w:sz w:val="22"/>
            <w:szCs w:val="22"/>
          </w:rPr>
          <w:tab/>
        </w:r>
        <w:r w:rsidR="00BA3EE7" w:rsidRPr="00C0400A">
          <w:rPr>
            <w:rStyle w:val="Hyperlink"/>
            <w:noProof/>
          </w:rPr>
          <w:t>Administrative Entity</w:t>
        </w:r>
        <w:r w:rsidR="00BA3EE7">
          <w:rPr>
            <w:noProof/>
            <w:webHidden/>
          </w:rPr>
          <w:tab/>
        </w:r>
        <w:r w:rsidR="00BA3EE7">
          <w:rPr>
            <w:noProof/>
            <w:webHidden/>
          </w:rPr>
          <w:fldChar w:fldCharType="begin"/>
        </w:r>
        <w:r w:rsidR="00BA3EE7">
          <w:rPr>
            <w:noProof/>
            <w:webHidden/>
          </w:rPr>
          <w:instrText xml:space="preserve"> PAGEREF _Toc521488564 \h </w:instrText>
        </w:r>
        <w:r w:rsidR="00BA3EE7">
          <w:rPr>
            <w:noProof/>
            <w:webHidden/>
          </w:rPr>
        </w:r>
        <w:r w:rsidR="00BA3EE7">
          <w:rPr>
            <w:noProof/>
            <w:webHidden/>
          </w:rPr>
          <w:fldChar w:fldCharType="separate"/>
        </w:r>
        <w:r w:rsidR="00BA3EE7">
          <w:rPr>
            <w:noProof/>
            <w:webHidden/>
          </w:rPr>
          <w:t>7</w:t>
        </w:r>
        <w:r w:rsidR="00BA3EE7">
          <w:rPr>
            <w:noProof/>
            <w:webHidden/>
          </w:rPr>
          <w:fldChar w:fldCharType="end"/>
        </w:r>
      </w:hyperlink>
    </w:p>
    <w:p w:rsidR="00BA3EE7" w:rsidRDefault="00AE3066">
      <w:pPr>
        <w:pStyle w:val="TOC1"/>
        <w:rPr>
          <w:rFonts w:asciiTheme="minorHAnsi" w:eastAsiaTheme="minorEastAsia" w:hAnsiTheme="minorHAnsi" w:cstheme="minorBidi"/>
          <w:b w:val="0"/>
          <w:bCs w:val="0"/>
          <w:sz w:val="22"/>
          <w:szCs w:val="22"/>
        </w:rPr>
      </w:pPr>
      <w:hyperlink w:anchor="_Toc521488565" w:history="1">
        <w:r w:rsidR="00BA3EE7" w:rsidRPr="00C0400A">
          <w:rPr>
            <w:rStyle w:val="Hyperlink"/>
          </w:rPr>
          <w:t>4.</w:t>
        </w:r>
        <w:r w:rsidR="00BA3EE7">
          <w:rPr>
            <w:rFonts w:asciiTheme="minorHAnsi" w:eastAsiaTheme="minorEastAsia" w:hAnsiTheme="minorHAnsi" w:cstheme="minorBidi"/>
            <w:b w:val="0"/>
            <w:bCs w:val="0"/>
            <w:sz w:val="22"/>
            <w:szCs w:val="22"/>
          </w:rPr>
          <w:tab/>
        </w:r>
        <w:r w:rsidR="00BA3EE7" w:rsidRPr="00C0400A">
          <w:rPr>
            <w:rStyle w:val="Hyperlink"/>
          </w:rPr>
          <w:t>Design &amp; Implementation</w:t>
        </w:r>
        <w:r w:rsidR="00BA3EE7">
          <w:rPr>
            <w:webHidden/>
          </w:rPr>
          <w:tab/>
        </w:r>
        <w:r w:rsidR="00BA3EE7">
          <w:rPr>
            <w:webHidden/>
          </w:rPr>
          <w:fldChar w:fldCharType="begin"/>
        </w:r>
        <w:r w:rsidR="00BA3EE7">
          <w:rPr>
            <w:webHidden/>
          </w:rPr>
          <w:instrText xml:space="preserve"> PAGEREF _Toc521488565 \h </w:instrText>
        </w:r>
        <w:r w:rsidR="00BA3EE7">
          <w:rPr>
            <w:webHidden/>
          </w:rPr>
        </w:r>
        <w:r w:rsidR="00BA3EE7">
          <w:rPr>
            <w:webHidden/>
          </w:rPr>
          <w:fldChar w:fldCharType="separate"/>
        </w:r>
        <w:r w:rsidR="00BA3EE7">
          <w:rPr>
            <w:webHidden/>
          </w:rPr>
          <w:t>7</w:t>
        </w:r>
        <w:r w:rsidR="00BA3EE7">
          <w:rPr>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66" w:history="1">
        <w:r w:rsidR="00BA3EE7" w:rsidRPr="00C0400A">
          <w:rPr>
            <w:rStyle w:val="Hyperlink"/>
            <w:noProof/>
          </w:rPr>
          <w:t>4.1.</w:t>
        </w:r>
        <w:r w:rsidR="00BA3EE7">
          <w:rPr>
            <w:rFonts w:asciiTheme="minorHAnsi" w:eastAsiaTheme="minorEastAsia" w:hAnsiTheme="minorHAnsi" w:cstheme="minorBidi"/>
            <w:smallCaps w:val="0"/>
            <w:noProof/>
            <w:sz w:val="22"/>
            <w:szCs w:val="22"/>
          </w:rPr>
          <w:tab/>
        </w:r>
        <w:r w:rsidR="00BA3EE7" w:rsidRPr="00C0400A">
          <w:rPr>
            <w:rStyle w:val="Hyperlink"/>
            <w:noProof/>
          </w:rPr>
          <w:t>Statewide Health Reform</w:t>
        </w:r>
        <w:r w:rsidR="00BA3EE7">
          <w:rPr>
            <w:noProof/>
            <w:webHidden/>
          </w:rPr>
          <w:tab/>
        </w:r>
        <w:r w:rsidR="00BA3EE7">
          <w:rPr>
            <w:noProof/>
            <w:webHidden/>
          </w:rPr>
          <w:fldChar w:fldCharType="begin"/>
        </w:r>
        <w:r w:rsidR="00BA3EE7">
          <w:rPr>
            <w:noProof/>
            <w:webHidden/>
          </w:rPr>
          <w:instrText xml:space="preserve"> PAGEREF _Toc521488566 \h </w:instrText>
        </w:r>
        <w:r w:rsidR="00BA3EE7">
          <w:rPr>
            <w:noProof/>
            <w:webHidden/>
          </w:rPr>
        </w:r>
        <w:r w:rsidR="00BA3EE7">
          <w:rPr>
            <w:noProof/>
            <w:webHidden/>
          </w:rPr>
          <w:fldChar w:fldCharType="separate"/>
        </w:r>
        <w:r w:rsidR="00BA3EE7">
          <w:rPr>
            <w:noProof/>
            <w:webHidden/>
          </w:rPr>
          <w:t>7</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67" w:history="1">
        <w:r w:rsidR="00BA3EE7" w:rsidRPr="00C0400A">
          <w:rPr>
            <w:rStyle w:val="Hyperlink"/>
            <w:noProof/>
          </w:rPr>
          <w:t>4.1.1</w:t>
        </w:r>
        <w:r w:rsidR="00BA3EE7">
          <w:rPr>
            <w:rFonts w:asciiTheme="minorHAnsi" w:eastAsiaTheme="minorEastAsia" w:hAnsiTheme="minorHAnsi" w:cstheme="minorBidi"/>
            <w:i w:val="0"/>
            <w:iCs w:val="0"/>
            <w:noProof/>
            <w:sz w:val="22"/>
            <w:szCs w:val="22"/>
          </w:rPr>
          <w:tab/>
        </w:r>
        <w:r w:rsidR="00BA3EE7" w:rsidRPr="00C0400A">
          <w:rPr>
            <w:rStyle w:val="Hyperlink"/>
            <w:noProof/>
          </w:rPr>
          <w:t>Accountable Care Organization</w:t>
        </w:r>
        <w:r w:rsidR="00BA3EE7">
          <w:rPr>
            <w:noProof/>
            <w:webHidden/>
          </w:rPr>
          <w:tab/>
        </w:r>
        <w:r w:rsidR="00BA3EE7">
          <w:rPr>
            <w:noProof/>
            <w:webHidden/>
          </w:rPr>
          <w:fldChar w:fldCharType="begin"/>
        </w:r>
        <w:r w:rsidR="00BA3EE7">
          <w:rPr>
            <w:noProof/>
            <w:webHidden/>
          </w:rPr>
          <w:instrText xml:space="preserve"> PAGEREF _Toc521488567 \h </w:instrText>
        </w:r>
        <w:r w:rsidR="00BA3EE7">
          <w:rPr>
            <w:noProof/>
            <w:webHidden/>
          </w:rPr>
        </w:r>
        <w:r w:rsidR="00BA3EE7">
          <w:rPr>
            <w:noProof/>
            <w:webHidden/>
          </w:rPr>
          <w:fldChar w:fldCharType="separate"/>
        </w:r>
        <w:r w:rsidR="00BA3EE7">
          <w:rPr>
            <w:noProof/>
            <w:webHidden/>
          </w:rPr>
          <w:t>7</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68" w:history="1">
        <w:r w:rsidR="00BA3EE7" w:rsidRPr="00C0400A">
          <w:rPr>
            <w:rStyle w:val="Hyperlink"/>
            <w:noProof/>
          </w:rPr>
          <w:t>4.1.2</w:t>
        </w:r>
        <w:r w:rsidR="00BA3EE7">
          <w:rPr>
            <w:rFonts w:asciiTheme="minorHAnsi" w:eastAsiaTheme="minorEastAsia" w:hAnsiTheme="minorHAnsi" w:cstheme="minorBidi"/>
            <w:i w:val="0"/>
            <w:iCs w:val="0"/>
            <w:noProof/>
            <w:sz w:val="22"/>
            <w:szCs w:val="22"/>
          </w:rPr>
          <w:tab/>
        </w:r>
        <w:r w:rsidR="00BA3EE7" w:rsidRPr="00C0400A">
          <w:rPr>
            <w:rStyle w:val="Hyperlink"/>
            <w:noProof/>
          </w:rPr>
          <w:t>All-Payer Model</w:t>
        </w:r>
        <w:r w:rsidR="00BA3EE7">
          <w:rPr>
            <w:noProof/>
            <w:webHidden/>
          </w:rPr>
          <w:tab/>
        </w:r>
        <w:r w:rsidR="00BA3EE7">
          <w:rPr>
            <w:noProof/>
            <w:webHidden/>
          </w:rPr>
          <w:fldChar w:fldCharType="begin"/>
        </w:r>
        <w:r w:rsidR="00BA3EE7">
          <w:rPr>
            <w:noProof/>
            <w:webHidden/>
          </w:rPr>
          <w:instrText xml:space="preserve"> PAGEREF _Toc521488568 \h </w:instrText>
        </w:r>
        <w:r w:rsidR="00BA3EE7">
          <w:rPr>
            <w:noProof/>
            <w:webHidden/>
          </w:rPr>
        </w:r>
        <w:r w:rsidR="00BA3EE7">
          <w:rPr>
            <w:noProof/>
            <w:webHidden/>
          </w:rPr>
          <w:fldChar w:fldCharType="separate"/>
        </w:r>
        <w:r w:rsidR="00BA3EE7">
          <w:rPr>
            <w:noProof/>
            <w:webHidden/>
          </w:rPr>
          <w:t>7</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69" w:history="1">
        <w:r w:rsidR="00BA3EE7" w:rsidRPr="00C0400A">
          <w:rPr>
            <w:rStyle w:val="Hyperlink"/>
            <w:noProof/>
          </w:rPr>
          <w:t>4.1.3</w:t>
        </w:r>
        <w:r w:rsidR="00BA3EE7">
          <w:rPr>
            <w:rFonts w:asciiTheme="minorHAnsi" w:eastAsiaTheme="minorEastAsia" w:hAnsiTheme="minorHAnsi" w:cstheme="minorBidi"/>
            <w:i w:val="0"/>
            <w:iCs w:val="0"/>
            <w:noProof/>
            <w:sz w:val="22"/>
            <w:szCs w:val="22"/>
          </w:rPr>
          <w:tab/>
        </w:r>
        <w:r w:rsidR="00BA3EE7" w:rsidRPr="00C0400A">
          <w:rPr>
            <w:rStyle w:val="Hyperlink"/>
            <w:noProof/>
          </w:rPr>
          <w:t>Population Health and Clinical Priorities</w:t>
        </w:r>
        <w:r w:rsidR="00BA3EE7">
          <w:rPr>
            <w:noProof/>
            <w:webHidden/>
          </w:rPr>
          <w:tab/>
        </w:r>
        <w:r w:rsidR="00BA3EE7">
          <w:rPr>
            <w:noProof/>
            <w:webHidden/>
          </w:rPr>
          <w:fldChar w:fldCharType="begin"/>
        </w:r>
        <w:r w:rsidR="00BA3EE7">
          <w:rPr>
            <w:noProof/>
            <w:webHidden/>
          </w:rPr>
          <w:instrText xml:space="preserve"> PAGEREF _Toc521488569 \h </w:instrText>
        </w:r>
        <w:r w:rsidR="00BA3EE7">
          <w:rPr>
            <w:noProof/>
            <w:webHidden/>
          </w:rPr>
        </w:r>
        <w:r w:rsidR="00BA3EE7">
          <w:rPr>
            <w:noProof/>
            <w:webHidden/>
          </w:rPr>
          <w:fldChar w:fldCharType="separate"/>
        </w:r>
        <w:r w:rsidR="00BA3EE7">
          <w:rPr>
            <w:noProof/>
            <w:webHidden/>
          </w:rPr>
          <w:t>8</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0" w:history="1">
        <w:r w:rsidR="00BA3EE7" w:rsidRPr="00C0400A">
          <w:rPr>
            <w:rStyle w:val="Hyperlink"/>
            <w:noProof/>
          </w:rPr>
          <w:t>4.1.4</w:t>
        </w:r>
        <w:r w:rsidR="00BA3EE7">
          <w:rPr>
            <w:rFonts w:asciiTheme="minorHAnsi" w:eastAsiaTheme="minorEastAsia" w:hAnsiTheme="minorHAnsi" w:cstheme="minorBidi"/>
            <w:i w:val="0"/>
            <w:iCs w:val="0"/>
            <w:noProof/>
            <w:sz w:val="22"/>
            <w:szCs w:val="22"/>
          </w:rPr>
          <w:tab/>
        </w:r>
        <w:r w:rsidR="00BA3EE7" w:rsidRPr="00C0400A">
          <w:rPr>
            <w:rStyle w:val="Hyperlink"/>
            <w:noProof/>
          </w:rPr>
          <w:t>Health Service Areas</w:t>
        </w:r>
        <w:r w:rsidR="00BA3EE7">
          <w:rPr>
            <w:noProof/>
            <w:webHidden/>
          </w:rPr>
          <w:tab/>
        </w:r>
        <w:r w:rsidR="00BA3EE7">
          <w:rPr>
            <w:noProof/>
            <w:webHidden/>
          </w:rPr>
          <w:fldChar w:fldCharType="begin"/>
        </w:r>
        <w:r w:rsidR="00BA3EE7">
          <w:rPr>
            <w:noProof/>
            <w:webHidden/>
          </w:rPr>
          <w:instrText xml:space="preserve"> PAGEREF _Toc521488570 \h </w:instrText>
        </w:r>
        <w:r w:rsidR="00BA3EE7">
          <w:rPr>
            <w:noProof/>
            <w:webHidden/>
          </w:rPr>
        </w:r>
        <w:r w:rsidR="00BA3EE7">
          <w:rPr>
            <w:noProof/>
            <w:webHidden/>
          </w:rPr>
          <w:fldChar w:fldCharType="separate"/>
        </w:r>
        <w:r w:rsidR="00BA3EE7">
          <w:rPr>
            <w:noProof/>
            <w:webHidden/>
          </w:rPr>
          <w:t>8</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71" w:history="1">
        <w:r w:rsidR="00BA3EE7" w:rsidRPr="00C0400A">
          <w:rPr>
            <w:rStyle w:val="Hyperlink"/>
            <w:noProof/>
          </w:rPr>
          <w:t>4.2.</w:t>
        </w:r>
        <w:r w:rsidR="00BA3EE7">
          <w:rPr>
            <w:rFonts w:asciiTheme="minorHAnsi" w:eastAsiaTheme="minorEastAsia" w:hAnsiTheme="minorHAnsi" w:cstheme="minorBidi"/>
            <w:smallCaps w:val="0"/>
            <w:noProof/>
            <w:sz w:val="22"/>
            <w:szCs w:val="22"/>
          </w:rPr>
          <w:tab/>
        </w:r>
        <w:r w:rsidR="00BA3EE7" w:rsidRPr="00C0400A">
          <w:rPr>
            <w:rStyle w:val="Hyperlink"/>
            <w:noProof/>
          </w:rPr>
          <w:t>Community Collaboratives</w:t>
        </w:r>
        <w:r w:rsidR="00BA3EE7">
          <w:rPr>
            <w:noProof/>
            <w:webHidden/>
          </w:rPr>
          <w:tab/>
        </w:r>
        <w:r w:rsidR="00BA3EE7">
          <w:rPr>
            <w:noProof/>
            <w:webHidden/>
          </w:rPr>
          <w:fldChar w:fldCharType="begin"/>
        </w:r>
        <w:r w:rsidR="00BA3EE7">
          <w:rPr>
            <w:noProof/>
            <w:webHidden/>
          </w:rPr>
          <w:instrText xml:space="preserve"> PAGEREF _Toc521488571 \h </w:instrText>
        </w:r>
        <w:r w:rsidR="00BA3EE7">
          <w:rPr>
            <w:noProof/>
            <w:webHidden/>
          </w:rPr>
        </w:r>
        <w:r w:rsidR="00BA3EE7">
          <w:rPr>
            <w:noProof/>
            <w:webHidden/>
          </w:rPr>
          <w:fldChar w:fldCharType="separate"/>
        </w:r>
        <w:r w:rsidR="00BA3EE7">
          <w:rPr>
            <w:noProof/>
            <w:webHidden/>
          </w:rPr>
          <w:t>8</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2" w:history="1">
        <w:r w:rsidR="00BA3EE7" w:rsidRPr="00C0400A">
          <w:rPr>
            <w:rStyle w:val="Hyperlink"/>
            <w:noProof/>
          </w:rPr>
          <w:t>4.2.1</w:t>
        </w:r>
        <w:r w:rsidR="00BA3EE7">
          <w:rPr>
            <w:rFonts w:asciiTheme="minorHAnsi" w:eastAsiaTheme="minorEastAsia" w:hAnsiTheme="minorHAnsi" w:cstheme="minorBidi"/>
            <w:i w:val="0"/>
            <w:iCs w:val="0"/>
            <w:noProof/>
            <w:sz w:val="22"/>
            <w:szCs w:val="22"/>
          </w:rPr>
          <w:tab/>
        </w:r>
        <w:r w:rsidR="00BA3EE7" w:rsidRPr="00C0400A">
          <w:rPr>
            <w:rStyle w:val="Hyperlink"/>
            <w:noProof/>
          </w:rPr>
          <w:t>Community Collaboratives—Governance</w:t>
        </w:r>
        <w:r w:rsidR="00BA3EE7">
          <w:rPr>
            <w:noProof/>
            <w:webHidden/>
          </w:rPr>
          <w:tab/>
        </w:r>
        <w:r w:rsidR="00BA3EE7">
          <w:rPr>
            <w:noProof/>
            <w:webHidden/>
          </w:rPr>
          <w:fldChar w:fldCharType="begin"/>
        </w:r>
        <w:r w:rsidR="00BA3EE7">
          <w:rPr>
            <w:noProof/>
            <w:webHidden/>
          </w:rPr>
          <w:instrText xml:space="preserve"> PAGEREF _Toc521488572 \h </w:instrText>
        </w:r>
        <w:r w:rsidR="00BA3EE7">
          <w:rPr>
            <w:noProof/>
            <w:webHidden/>
          </w:rPr>
        </w:r>
        <w:r w:rsidR="00BA3EE7">
          <w:rPr>
            <w:noProof/>
            <w:webHidden/>
          </w:rPr>
          <w:fldChar w:fldCharType="separate"/>
        </w:r>
        <w:r w:rsidR="00BA3EE7">
          <w:rPr>
            <w:noProof/>
            <w:webHidden/>
          </w:rPr>
          <w:t>9</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3" w:history="1">
        <w:r w:rsidR="00BA3EE7" w:rsidRPr="00C0400A">
          <w:rPr>
            <w:rStyle w:val="Hyperlink"/>
            <w:noProof/>
          </w:rPr>
          <w:t>4.2.2</w:t>
        </w:r>
        <w:r w:rsidR="00BA3EE7">
          <w:rPr>
            <w:rFonts w:asciiTheme="minorHAnsi" w:eastAsiaTheme="minorEastAsia" w:hAnsiTheme="minorHAnsi" w:cstheme="minorBidi"/>
            <w:i w:val="0"/>
            <w:iCs w:val="0"/>
            <w:noProof/>
            <w:sz w:val="22"/>
            <w:szCs w:val="22"/>
          </w:rPr>
          <w:tab/>
        </w:r>
        <w:r w:rsidR="00BA3EE7" w:rsidRPr="00C0400A">
          <w:rPr>
            <w:rStyle w:val="Hyperlink"/>
            <w:noProof/>
          </w:rPr>
          <w:t>Community Collaboratives—Workgroups</w:t>
        </w:r>
        <w:r w:rsidR="00BA3EE7">
          <w:rPr>
            <w:noProof/>
            <w:webHidden/>
          </w:rPr>
          <w:tab/>
        </w:r>
        <w:r w:rsidR="00BA3EE7">
          <w:rPr>
            <w:noProof/>
            <w:webHidden/>
          </w:rPr>
          <w:fldChar w:fldCharType="begin"/>
        </w:r>
        <w:r w:rsidR="00BA3EE7">
          <w:rPr>
            <w:noProof/>
            <w:webHidden/>
          </w:rPr>
          <w:instrText xml:space="preserve"> PAGEREF _Toc521488573 \h </w:instrText>
        </w:r>
        <w:r w:rsidR="00BA3EE7">
          <w:rPr>
            <w:noProof/>
            <w:webHidden/>
          </w:rPr>
        </w:r>
        <w:r w:rsidR="00BA3EE7">
          <w:rPr>
            <w:noProof/>
            <w:webHidden/>
          </w:rPr>
          <w:fldChar w:fldCharType="separate"/>
        </w:r>
        <w:r w:rsidR="00BA3EE7">
          <w:rPr>
            <w:noProof/>
            <w:webHidden/>
          </w:rPr>
          <w:t>9</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74" w:history="1">
        <w:r w:rsidR="00BA3EE7" w:rsidRPr="00C0400A">
          <w:rPr>
            <w:rStyle w:val="Hyperlink"/>
            <w:noProof/>
          </w:rPr>
          <w:t>4.3.</w:t>
        </w:r>
        <w:r w:rsidR="00BA3EE7">
          <w:rPr>
            <w:rFonts w:asciiTheme="minorHAnsi" w:eastAsiaTheme="minorEastAsia" w:hAnsiTheme="minorHAnsi" w:cstheme="minorBidi"/>
            <w:smallCaps w:val="0"/>
            <w:noProof/>
            <w:sz w:val="22"/>
            <w:szCs w:val="22"/>
          </w:rPr>
          <w:tab/>
        </w:r>
        <w:r w:rsidR="00BA3EE7" w:rsidRPr="00C0400A">
          <w:rPr>
            <w:rStyle w:val="Hyperlink"/>
            <w:noProof/>
          </w:rPr>
          <w:t>Community Health Team</w:t>
        </w:r>
        <w:r w:rsidR="00BA3EE7">
          <w:rPr>
            <w:noProof/>
            <w:webHidden/>
          </w:rPr>
          <w:tab/>
        </w:r>
        <w:r w:rsidR="00BA3EE7">
          <w:rPr>
            <w:noProof/>
            <w:webHidden/>
          </w:rPr>
          <w:fldChar w:fldCharType="begin"/>
        </w:r>
        <w:r w:rsidR="00BA3EE7">
          <w:rPr>
            <w:noProof/>
            <w:webHidden/>
          </w:rPr>
          <w:instrText xml:space="preserve"> PAGEREF _Toc521488574 \h </w:instrText>
        </w:r>
        <w:r w:rsidR="00BA3EE7">
          <w:rPr>
            <w:noProof/>
            <w:webHidden/>
          </w:rPr>
        </w:r>
        <w:r w:rsidR="00BA3EE7">
          <w:rPr>
            <w:noProof/>
            <w:webHidden/>
          </w:rPr>
          <w:fldChar w:fldCharType="separate"/>
        </w:r>
        <w:r w:rsidR="00BA3EE7">
          <w:rPr>
            <w:noProof/>
            <w:webHidden/>
          </w:rPr>
          <w:t>10</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5" w:history="1">
        <w:r w:rsidR="00BA3EE7" w:rsidRPr="00C0400A">
          <w:rPr>
            <w:rStyle w:val="Hyperlink"/>
            <w:noProof/>
          </w:rPr>
          <w:t>4.3.1</w:t>
        </w:r>
        <w:r w:rsidR="00BA3EE7">
          <w:rPr>
            <w:rFonts w:asciiTheme="minorHAnsi" w:eastAsiaTheme="minorEastAsia" w:hAnsiTheme="minorHAnsi" w:cstheme="minorBidi"/>
            <w:i w:val="0"/>
            <w:iCs w:val="0"/>
            <w:noProof/>
            <w:sz w:val="22"/>
            <w:szCs w:val="22"/>
          </w:rPr>
          <w:tab/>
        </w:r>
        <w:r w:rsidR="00BA3EE7" w:rsidRPr="00C0400A">
          <w:rPr>
            <w:rStyle w:val="Hyperlink"/>
            <w:noProof/>
          </w:rPr>
          <w:t>Community Health Team Plan</w:t>
        </w:r>
        <w:r w:rsidR="00BA3EE7">
          <w:rPr>
            <w:noProof/>
            <w:webHidden/>
          </w:rPr>
          <w:tab/>
        </w:r>
        <w:r w:rsidR="00BA3EE7">
          <w:rPr>
            <w:noProof/>
            <w:webHidden/>
          </w:rPr>
          <w:fldChar w:fldCharType="begin"/>
        </w:r>
        <w:r w:rsidR="00BA3EE7">
          <w:rPr>
            <w:noProof/>
            <w:webHidden/>
          </w:rPr>
          <w:instrText xml:space="preserve"> PAGEREF _Toc521488575 \h </w:instrText>
        </w:r>
        <w:r w:rsidR="00BA3EE7">
          <w:rPr>
            <w:noProof/>
            <w:webHidden/>
          </w:rPr>
        </w:r>
        <w:r w:rsidR="00BA3EE7">
          <w:rPr>
            <w:noProof/>
            <w:webHidden/>
          </w:rPr>
          <w:fldChar w:fldCharType="separate"/>
        </w:r>
        <w:r w:rsidR="00BA3EE7">
          <w:rPr>
            <w:noProof/>
            <w:webHidden/>
          </w:rPr>
          <w:t>10</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6" w:history="1">
        <w:r w:rsidR="00BA3EE7" w:rsidRPr="00C0400A">
          <w:rPr>
            <w:rStyle w:val="Hyperlink"/>
            <w:noProof/>
          </w:rPr>
          <w:t>4.3.2</w:t>
        </w:r>
        <w:r w:rsidR="00BA3EE7">
          <w:rPr>
            <w:rFonts w:asciiTheme="minorHAnsi" w:eastAsiaTheme="minorEastAsia" w:hAnsiTheme="minorHAnsi" w:cstheme="minorBidi"/>
            <w:i w:val="0"/>
            <w:iCs w:val="0"/>
            <w:noProof/>
            <w:sz w:val="22"/>
            <w:szCs w:val="22"/>
          </w:rPr>
          <w:tab/>
        </w:r>
        <w:r w:rsidR="00BA3EE7" w:rsidRPr="00C0400A">
          <w:rPr>
            <w:rStyle w:val="Hyperlink"/>
            <w:noProof/>
          </w:rPr>
          <w:t>Community Health Team Budget</w:t>
        </w:r>
        <w:r w:rsidR="00BA3EE7">
          <w:rPr>
            <w:noProof/>
            <w:webHidden/>
          </w:rPr>
          <w:tab/>
        </w:r>
        <w:r w:rsidR="00BA3EE7">
          <w:rPr>
            <w:noProof/>
            <w:webHidden/>
          </w:rPr>
          <w:fldChar w:fldCharType="begin"/>
        </w:r>
        <w:r w:rsidR="00BA3EE7">
          <w:rPr>
            <w:noProof/>
            <w:webHidden/>
          </w:rPr>
          <w:instrText xml:space="preserve"> PAGEREF _Toc521488576 \h </w:instrText>
        </w:r>
        <w:r w:rsidR="00BA3EE7">
          <w:rPr>
            <w:noProof/>
            <w:webHidden/>
          </w:rPr>
        </w:r>
        <w:r w:rsidR="00BA3EE7">
          <w:rPr>
            <w:noProof/>
            <w:webHidden/>
          </w:rPr>
          <w:fldChar w:fldCharType="separate"/>
        </w:r>
        <w:r w:rsidR="00BA3EE7">
          <w:rPr>
            <w:noProof/>
            <w:webHidden/>
          </w:rPr>
          <w:t>10</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7" w:history="1">
        <w:r w:rsidR="00BA3EE7" w:rsidRPr="00C0400A">
          <w:rPr>
            <w:rStyle w:val="Hyperlink"/>
            <w:noProof/>
          </w:rPr>
          <w:t>4.3.3</w:t>
        </w:r>
        <w:r w:rsidR="00BA3EE7">
          <w:rPr>
            <w:rFonts w:asciiTheme="minorHAnsi" w:eastAsiaTheme="minorEastAsia" w:hAnsiTheme="minorHAnsi" w:cstheme="minorBidi"/>
            <w:i w:val="0"/>
            <w:iCs w:val="0"/>
            <w:noProof/>
            <w:sz w:val="22"/>
            <w:szCs w:val="22"/>
          </w:rPr>
          <w:tab/>
        </w:r>
        <w:r w:rsidR="00BA3EE7" w:rsidRPr="00C0400A">
          <w:rPr>
            <w:rStyle w:val="Hyperlink"/>
            <w:noProof/>
          </w:rPr>
          <w:t>Community Health Team Evaluation.</w:t>
        </w:r>
        <w:r w:rsidR="00BA3EE7">
          <w:rPr>
            <w:noProof/>
            <w:webHidden/>
          </w:rPr>
          <w:tab/>
        </w:r>
        <w:r w:rsidR="00BA3EE7">
          <w:rPr>
            <w:noProof/>
            <w:webHidden/>
          </w:rPr>
          <w:fldChar w:fldCharType="begin"/>
        </w:r>
        <w:r w:rsidR="00BA3EE7">
          <w:rPr>
            <w:noProof/>
            <w:webHidden/>
          </w:rPr>
          <w:instrText xml:space="preserve"> PAGEREF _Toc521488577 \h </w:instrText>
        </w:r>
        <w:r w:rsidR="00BA3EE7">
          <w:rPr>
            <w:noProof/>
            <w:webHidden/>
          </w:rPr>
        </w:r>
        <w:r w:rsidR="00BA3EE7">
          <w:rPr>
            <w:noProof/>
            <w:webHidden/>
          </w:rPr>
          <w:fldChar w:fldCharType="separate"/>
        </w:r>
        <w:r w:rsidR="00BA3EE7">
          <w:rPr>
            <w:noProof/>
            <w:webHidden/>
          </w:rPr>
          <w:t>10</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8" w:history="1">
        <w:r w:rsidR="00BA3EE7" w:rsidRPr="00C0400A">
          <w:rPr>
            <w:rStyle w:val="Hyperlink"/>
            <w:noProof/>
          </w:rPr>
          <w:t>4.3.4</w:t>
        </w:r>
        <w:r w:rsidR="00BA3EE7">
          <w:rPr>
            <w:rFonts w:asciiTheme="minorHAnsi" w:eastAsiaTheme="minorEastAsia" w:hAnsiTheme="minorHAnsi" w:cstheme="minorBidi"/>
            <w:i w:val="0"/>
            <w:iCs w:val="0"/>
            <w:noProof/>
            <w:sz w:val="22"/>
            <w:szCs w:val="22"/>
          </w:rPr>
          <w:tab/>
        </w:r>
        <w:r w:rsidR="00BA3EE7" w:rsidRPr="00C0400A">
          <w:rPr>
            <w:rStyle w:val="Hyperlink"/>
            <w:noProof/>
          </w:rPr>
          <w:t>Community Health Team Staffing</w:t>
        </w:r>
        <w:r w:rsidR="00BA3EE7">
          <w:rPr>
            <w:noProof/>
            <w:webHidden/>
          </w:rPr>
          <w:tab/>
        </w:r>
        <w:r w:rsidR="00BA3EE7">
          <w:rPr>
            <w:noProof/>
            <w:webHidden/>
          </w:rPr>
          <w:fldChar w:fldCharType="begin"/>
        </w:r>
        <w:r w:rsidR="00BA3EE7">
          <w:rPr>
            <w:noProof/>
            <w:webHidden/>
          </w:rPr>
          <w:instrText xml:space="preserve"> PAGEREF _Toc521488578 \h </w:instrText>
        </w:r>
        <w:r w:rsidR="00BA3EE7">
          <w:rPr>
            <w:noProof/>
            <w:webHidden/>
          </w:rPr>
        </w:r>
        <w:r w:rsidR="00BA3EE7">
          <w:rPr>
            <w:noProof/>
            <w:webHidden/>
          </w:rPr>
          <w:fldChar w:fldCharType="separate"/>
        </w:r>
        <w:r w:rsidR="00BA3EE7">
          <w:rPr>
            <w:noProof/>
            <w:webHidden/>
          </w:rPr>
          <w:t>11</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79" w:history="1">
        <w:r w:rsidR="00BA3EE7" w:rsidRPr="00C0400A">
          <w:rPr>
            <w:rStyle w:val="Hyperlink"/>
            <w:noProof/>
          </w:rPr>
          <w:t>4.3.5</w:t>
        </w:r>
        <w:r w:rsidR="00BA3EE7">
          <w:rPr>
            <w:rFonts w:asciiTheme="minorHAnsi" w:eastAsiaTheme="minorEastAsia" w:hAnsiTheme="minorHAnsi" w:cstheme="minorBidi"/>
            <w:i w:val="0"/>
            <w:iCs w:val="0"/>
            <w:noProof/>
            <w:sz w:val="22"/>
            <w:szCs w:val="22"/>
          </w:rPr>
          <w:tab/>
        </w:r>
        <w:r w:rsidR="00BA3EE7" w:rsidRPr="00C0400A">
          <w:rPr>
            <w:rStyle w:val="Hyperlink"/>
            <w:noProof/>
          </w:rPr>
          <w:t>Community Health Team Integration</w:t>
        </w:r>
        <w:r w:rsidR="00BA3EE7">
          <w:rPr>
            <w:noProof/>
            <w:webHidden/>
          </w:rPr>
          <w:tab/>
        </w:r>
        <w:r w:rsidR="00BA3EE7">
          <w:rPr>
            <w:noProof/>
            <w:webHidden/>
          </w:rPr>
          <w:fldChar w:fldCharType="begin"/>
        </w:r>
        <w:r w:rsidR="00BA3EE7">
          <w:rPr>
            <w:noProof/>
            <w:webHidden/>
          </w:rPr>
          <w:instrText xml:space="preserve"> PAGEREF _Toc521488579 \h </w:instrText>
        </w:r>
        <w:r w:rsidR="00BA3EE7">
          <w:rPr>
            <w:noProof/>
            <w:webHidden/>
          </w:rPr>
        </w:r>
        <w:r w:rsidR="00BA3EE7">
          <w:rPr>
            <w:noProof/>
            <w:webHidden/>
          </w:rPr>
          <w:fldChar w:fldCharType="separate"/>
        </w:r>
        <w:r w:rsidR="00BA3EE7">
          <w:rPr>
            <w:noProof/>
            <w:webHidden/>
          </w:rPr>
          <w:t>11</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0" w:history="1">
        <w:r w:rsidR="00BA3EE7" w:rsidRPr="00C0400A">
          <w:rPr>
            <w:rStyle w:val="Hyperlink"/>
            <w:noProof/>
          </w:rPr>
          <w:t>4.3.6</w:t>
        </w:r>
        <w:r w:rsidR="00BA3EE7">
          <w:rPr>
            <w:rFonts w:asciiTheme="minorHAnsi" w:eastAsiaTheme="minorEastAsia" w:hAnsiTheme="minorHAnsi" w:cstheme="minorBidi"/>
            <w:i w:val="0"/>
            <w:iCs w:val="0"/>
            <w:noProof/>
            <w:sz w:val="22"/>
            <w:szCs w:val="22"/>
          </w:rPr>
          <w:tab/>
        </w:r>
        <w:r w:rsidR="00BA3EE7" w:rsidRPr="00C0400A">
          <w:rPr>
            <w:rStyle w:val="Hyperlink"/>
            <w:noProof/>
          </w:rPr>
          <w:t>Medication-Assisted Treatment</w:t>
        </w:r>
        <w:r w:rsidR="00BA3EE7">
          <w:rPr>
            <w:noProof/>
            <w:webHidden/>
          </w:rPr>
          <w:tab/>
        </w:r>
        <w:r w:rsidR="00BA3EE7">
          <w:rPr>
            <w:noProof/>
            <w:webHidden/>
          </w:rPr>
          <w:fldChar w:fldCharType="begin"/>
        </w:r>
        <w:r w:rsidR="00BA3EE7">
          <w:rPr>
            <w:noProof/>
            <w:webHidden/>
          </w:rPr>
          <w:instrText xml:space="preserve"> PAGEREF _Toc521488580 \h </w:instrText>
        </w:r>
        <w:r w:rsidR="00BA3EE7">
          <w:rPr>
            <w:noProof/>
            <w:webHidden/>
          </w:rPr>
        </w:r>
        <w:r w:rsidR="00BA3EE7">
          <w:rPr>
            <w:noProof/>
            <w:webHidden/>
          </w:rPr>
          <w:fldChar w:fldCharType="separate"/>
        </w:r>
        <w:r w:rsidR="00BA3EE7">
          <w:rPr>
            <w:noProof/>
            <w:webHidden/>
          </w:rPr>
          <w:t>12</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1" w:history="1">
        <w:r w:rsidR="00BA3EE7" w:rsidRPr="00C0400A">
          <w:rPr>
            <w:rStyle w:val="Hyperlink"/>
            <w:noProof/>
          </w:rPr>
          <w:t>4.3.7</w:t>
        </w:r>
        <w:r w:rsidR="00BA3EE7">
          <w:rPr>
            <w:rFonts w:asciiTheme="minorHAnsi" w:eastAsiaTheme="minorEastAsia" w:hAnsiTheme="minorHAnsi" w:cstheme="minorBidi"/>
            <w:i w:val="0"/>
            <w:iCs w:val="0"/>
            <w:noProof/>
            <w:sz w:val="22"/>
            <w:szCs w:val="22"/>
          </w:rPr>
          <w:tab/>
        </w:r>
        <w:r w:rsidR="00BA3EE7" w:rsidRPr="00C0400A">
          <w:rPr>
            <w:rStyle w:val="Hyperlink"/>
            <w:noProof/>
          </w:rPr>
          <w:t>Women’s Health Initiative</w:t>
        </w:r>
        <w:r w:rsidR="00BA3EE7">
          <w:rPr>
            <w:noProof/>
            <w:webHidden/>
          </w:rPr>
          <w:tab/>
        </w:r>
        <w:r w:rsidR="00BA3EE7">
          <w:rPr>
            <w:noProof/>
            <w:webHidden/>
          </w:rPr>
          <w:fldChar w:fldCharType="begin"/>
        </w:r>
        <w:r w:rsidR="00BA3EE7">
          <w:rPr>
            <w:noProof/>
            <w:webHidden/>
          </w:rPr>
          <w:instrText xml:space="preserve"> PAGEREF _Toc521488581 \h </w:instrText>
        </w:r>
        <w:r w:rsidR="00BA3EE7">
          <w:rPr>
            <w:noProof/>
            <w:webHidden/>
          </w:rPr>
        </w:r>
        <w:r w:rsidR="00BA3EE7">
          <w:rPr>
            <w:noProof/>
            <w:webHidden/>
          </w:rPr>
          <w:fldChar w:fldCharType="separate"/>
        </w:r>
        <w:r w:rsidR="00BA3EE7">
          <w:rPr>
            <w:noProof/>
            <w:webHidden/>
          </w:rPr>
          <w:t>12</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82" w:history="1">
        <w:r w:rsidR="00BA3EE7" w:rsidRPr="00C0400A">
          <w:rPr>
            <w:rStyle w:val="Hyperlink"/>
            <w:noProof/>
          </w:rPr>
          <w:t>4.4.</w:t>
        </w:r>
        <w:r w:rsidR="00BA3EE7">
          <w:rPr>
            <w:rFonts w:asciiTheme="minorHAnsi" w:eastAsiaTheme="minorEastAsia" w:hAnsiTheme="minorHAnsi" w:cstheme="minorBidi"/>
            <w:smallCaps w:val="0"/>
            <w:noProof/>
            <w:sz w:val="22"/>
            <w:szCs w:val="22"/>
          </w:rPr>
          <w:tab/>
        </w:r>
        <w:r w:rsidR="00BA3EE7" w:rsidRPr="00C0400A">
          <w:rPr>
            <w:rStyle w:val="Hyperlink"/>
            <w:noProof/>
          </w:rPr>
          <w:t>Blueprint Program Management</w:t>
        </w:r>
        <w:r w:rsidR="00BA3EE7">
          <w:rPr>
            <w:noProof/>
            <w:webHidden/>
          </w:rPr>
          <w:tab/>
        </w:r>
        <w:r w:rsidR="00BA3EE7">
          <w:rPr>
            <w:noProof/>
            <w:webHidden/>
          </w:rPr>
          <w:fldChar w:fldCharType="begin"/>
        </w:r>
        <w:r w:rsidR="00BA3EE7">
          <w:rPr>
            <w:noProof/>
            <w:webHidden/>
          </w:rPr>
          <w:instrText xml:space="preserve"> PAGEREF _Toc521488582 \h </w:instrText>
        </w:r>
        <w:r w:rsidR="00BA3EE7">
          <w:rPr>
            <w:noProof/>
            <w:webHidden/>
          </w:rPr>
        </w:r>
        <w:r w:rsidR="00BA3EE7">
          <w:rPr>
            <w:noProof/>
            <w:webHidden/>
          </w:rPr>
          <w:fldChar w:fldCharType="separate"/>
        </w:r>
        <w:r w:rsidR="00BA3EE7">
          <w:rPr>
            <w:noProof/>
            <w:webHidden/>
          </w:rPr>
          <w:t>12</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3" w:history="1">
        <w:r w:rsidR="00BA3EE7" w:rsidRPr="00C0400A">
          <w:rPr>
            <w:rStyle w:val="Hyperlink"/>
            <w:noProof/>
          </w:rPr>
          <w:t>4.4.1</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Management—Program Monitoring</w:t>
        </w:r>
        <w:r w:rsidR="00BA3EE7">
          <w:rPr>
            <w:noProof/>
            <w:webHidden/>
          </w:rPr>
          <w:tab/>
        </w:r>
        <w:r w:rsidR="00BA3EE7">
          <w:rPr>
            <w:noProof/>
            <w:webHidden/>
          </w:rPr>
          <w:fldChar w:fldCharType="begin"/>
        </w:r>
        <w:r w:rsidR="00BA3EE7">
          <w:rPr>
            <w:noProof/>
            <w:webHidden/>
          </w:rPr>
          <w:instrText xml:space="preserve"> PAGEREF _Toc521488583 \h </w:instrText>
        </w:r>
        <w:r w:rsidR="00BA3EE7">
          <w:rPr>
            <w:noProof/>
            <w:webHidden/>
          </w:rPr>
        </w:r>
        <w:r w:rsidR="00BA3EE7">
          <w:rPr>
            <w:noProof/>
            <w:webHidden/>
          </w:rPr>
          <w:fldChar w:fldCharType="separate"/>
        </w:r>
        <w:r w:rsidR="00BA3EE7">
          <w:rPr>
            <w:noProof/>
            <w:webHidden/>
          </w:rPr>
          <w:t>13</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4" w:history="1">
        <w:r w:rsidR="00BA3EE7" w:rsidRPr="00C0400A">
          <w:rPr>
            <w:rStyle w:val="Hyperlink"/>
            <w:noProof/>
          </w:rPr>
          <w:t>4.4.2</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Management—State Meetings</w:t>
        </w:r>
        <w:r w:rsidR="00BA3EE7">
          <w:rPr>
            <w:noProof/>
            <w:webHidden/>
          </w:rPr>
          <w:tab/>
        </w:r>
        <w:r w:rsidR="00BA3EE7">
          <w:rPr>
            <w:noProof/>
            <w:webHidden/>
          </w:rPr>
          <w:fldChar w:fldCharType="begin"/>
        </w:r>
        <w:r w:rsidR="00BA3EE7">
          <w:rPr>
            <w:noProof/>
            <w:webHidden/>
          </w:rPr>
          <w:instrText xml:space="preserve"> PAGEREF _Toc521488584 \h </w:instrText>
        </w:r>
        <w:r w:rsidR="00BA3EE7">
          <w:rPr>
            <w:noProof/>
            <w:webHidden/>
          </w:rPr>
        </w:r>
        <w:r w:rsidR="00BA3EE7">
          <w:rPr>
            <w:noProof/>
            <w:webHidden/>
          </w:rPr>
          <w:fldChar w:fldCharType="separate"/>
        </w:r>
        <w:r w:rsidR="00BA3EE7">
          <w:rPr>
            <w:noProof/>
            <w:webHidden/>
          </w:rPr>
          <w:t>13</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5" w:history="1">
        <w:r w:rsidR="00BA3EE7" w:rsidRPr="00C0400A">
          <w:rPr>
            <w:rStyle w:val="Hyperlink"/>
            <w:noProof/>
          </w:rPr>
          <w:t>4.4.3</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Management—Community Collaboratives</w:t>
        </w:r>
        <w:r w:rsidR="00BA3EE7">
          <w:rPr>
            <w:noProof/>
            <w:webHidden/>
          </w:rPr>
          <w:tab/>
        </w:r>
        <w:r w:rsidR="00BA3EE7">
          <w:rPr>
            <w:noProof/>
            <w:webHidden/>
          </w:rPr>
          <w:fldChar w:fldCharType="begin"/>
        </w:r>
        <w:r w:rsidR="00BA3EE7">
          <w:rPr>
            <w:noProof/>
            <w:webHidden/>
          </w:rPr>
          <w:instrText xml:space="preserve"> PAGEREF _Toc521488585 \h </w:instrText>
        </w:r>
        <w:r w:rsidR="00BA3EE7">
          <w:rPr>
            <w:noProof/>
            <w:webHidden/>
          </w:rPr>
        </w:r>
        <w:r w:rsidR="00BA3EE7">
          <w:rPr>
            <w:noProof/>
            <w:webHidden/>
          </w:rPr>
          <w:fldChar w:fldCharType="separate"/>
        </w:r>
        <w:r w:rsidR="00BA3EE7">
          <w:rPr>
            <w:noProof/>
            <w:webHidden/>
          </w:rPr>
          <w:t>13</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6" w:history="1">
        <w:r w:rsidR="00BA3EE7" w:rsidRPr="00C0400A">
          <w:rPr>
            <w:rStyle w:val="Hyperlink"/>
            <w:noProof/>
          </w:rPr>
          <w:t>4.4.4</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Management—Practice Outreach and Participation in Health Reform</w:t>
        </w:r>
        <w:r w:rsidR="00BA3EE7">
          <w:rPr>
            <w:noProof/>
            <w:webHidden/>
          </w:rPr>
          <w:tab/>
        </w:r>
        <w:r w:rsidR="00BA3EE7">
          <w:rPr>
            <w:noProof/>
            <w:webHidden/>
          </w:rPr>
          <w:fldChar w:fldCharType="begin"/>
        </w:r>
        <w:r w:rsidR="00BA3EE7">
          <w:rPr>
            <w:noProof/>
            <w:webHidden/>
          </w:rPr>
          <w:instrText xml:space="preserve"> PAGEREF _Toc521488586 \h </w:instrText>
        </w:r>
        <w:r w:rsidR="00BA3EE7">
          <w:rPr>
            <w:noProof/>
            <w:webHidden/>
          </w:rPr>
        </w:r>
        <w:r w:rsidR="00BA3EE7">
          <w:rPr>
            <w:noProof/>
            <w:webHidden/>
          </w:rPr>
          <w:fldChar w:fldCharType="separate"/>
        </w:r>
        <w:r w:rsidR="00BA3EE7">
          <w:rPr>
            <w:noProof/>
            <w:webHidden/>
          </w:rPr>
          <w:t>13</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7" w:history="1">
        <w:r w:rsidR="00BA3EE7" w:rsidRPr="00C0400A">
          <w:rPr>
            <w:rStyle w:val="Hyperlink"/>
            <w:noProof/>
          </w:rPr>
          <w:t>4.4.5</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Management—Recruit Participation in Quality Improvement</w:t>
        </w:r>
        <w:r w:rsidR="00BA3EE7">
          <w:rPr>
            <w:noProof/>
            <w:webHidden/>
          </w:rPr>
          <w:tab/>
        </w:r>
        <w:r w:rsidR="00BA3EE7">
          <w:rPr>
            <w:noProof/>
            <w:webHidden/>
          </w:rPr>
          <w:fldChar w:fldCharType="begin"/>
        </w:r>
        <w:r w:rsidR="00BA3EE7">
          <w:rPr>
            <w:noProof/>
            <w:webHidden/>
          </w:rPr>
          <w:instrText xml:space="preserve"> PAGEREF _Toc521488587 \h </w:instrText>
        </w:r>
        <w:r w:rsidR="00BA3EE7">
          <w:rPr>
            <w:noProof/>
            <w:webHidden/>
          </w:rPr>
        </w:r>
        <w:r w:rsidR="00BA3EE7">
          <w:rPr>
            <w:noProof/>
            <w:webHidden/>
          </w:rPr>
          <w:fldChar w:fldCharType="separate"/>
        </w:r>
        <w:r w:rsidR="00BA3EE7">
          <w:rPr>
            <w:noProof/>
            <w:webHidden/>
          </w:rPr>
          <w:t>14</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8" w:history="1">
        <w:r w:rsidR="00BA3EE7" w:rsidRPr="00C0400A">
          <w:rPr>
            <w:rStyle w:val="Hyperlink"/>
            <w:noProof/>
          </w:rPr>
          <w:t>4.4.6</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Management—MAT and WHI Practice Contacts</w:t>
        </w:r>
        <w:r w:rsidR="00BA3EE7">
          <w:rPr>
            <w:noProof/>
            <w:webHidden/>
          </w:rPr>
          <w:tab/>
        </w:r>
        <w:r w:rsidR="00BA3EE7">
          <w:rPr>
            <w:noProof/>
            <w:webHidden/>
          </w:rPr>
          <w:fldChar w:fldCharType="begin"/>
        </w:r>
        <w:r w:rsidR="00BA3EE7">
          <w:rPr>
            <w:noProof/>
            <w:webHidden/>
          </w:rPr>
          <w:instrText xml:space="preserve"> PAGEREF _Toc521488588 \h </w:instrText>
        </w:r>
        <w:r w:rsidR="00BA3EE7">
          <w:rPr>
            <w:noProof/>
            <w:webHidden/>
          </w:rPr>
        </w:r>
        <w:r w:rsidR="00BA3EE7">
          <w:rPr>
            <w:noProof/>
            <w:webHidden/>
          </w:rPr>
          <w:fldChar w:fldCharType="separate"/>
        </w:r>
        <w:r w:rsidR="00BA3EE7">
          <w:rPr>
            <w:noProof/>
            <w:webHidden/>
          </w:rPr>
          <w:t>15</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89" w:history="1">
        <w:r w:rsidR="00BA3EE7" w:rsidRPr="00C0400A">
          <w:rPr>
            <w:rStyle w:val="Hyperlink"/>
            <w:noProof/>
          </w:rPr>
          <w:t>4.4.7</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Management—Health Reform Communication</w:t>
        </w:r>
        <w:r w:rsidR="00BA3EE7">
          <w:rPr>
            <w:noProof/>
            <w:webHidden/>
          </w:rPr>
          <w:tab/>
        </w:r>
        <w:r w:rsidR="00BA3EE7">
          <w:rPr>
            <w:noProof/>
            <w:webHidden/>
          </w:rPr>
          <w:fldChar w:fldCharType="begin"/>
        </w:r>
        <w:r w:rsidR="00BA3EE7">
          <w:rPr>
            <w:noProof/>
            <w:webHidden/>
          </w:rPr>
          <w:instrText xml:space="preserve"> PAGEREF _Toc521488589 \h </w:instrText>
        </w:r>
        <w:r w:rsidR="00BA3EE7">
          <w:rPr>
            <w:noProof/>
            <w:webHidden/>
          </w:rPr>
        </w:r>
        <w:r w:rsidR="00BA3EE7">
          <w:rPr>
            <w:noProof/>
            <w:webHidden/>
          </w:rPr>
          <w:fldChar w:fldCharType="separate"/>
        </w:r>
        <w:r w:rsidR="00BA3EE7">
          <w:rPr>
            <w:noProof/>
            <w:webHidden/>
          </w:rPr>
          <w:t>15</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90" w:history="1">
        <w:r w:rsidR="00BA3EE7" w:rsidRPr="00C0400A">
          <w:rPr>
            <w:rStyle w:val="Hyperlink"/>
            <w:noProof/>
          </w:rPr>
          <w:t>4.4.8</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Management—Unified Performance Reporting and Data Utility</w:t>
        </w:r>
        <w:r w:rsidR="00BA3EE7">
          <w:rPr>
            <w:noProof/>
            <w:webHidden/>
          </w:rPr>
          <w:tab/>
        </w:r>
        <w:r w:rsidR="00BA3EE7">
          <w:rPr>
            <w:noProof/>
            <w:webHidden/>
          </w:rPr>
          <w:fldChar w:fldCharType="begin"/>
        </w:r>
        <w:r w:rsidR="00BA3EE7">
          <w:rPr>
            <w:noProof/>
            <w:webHidden/>
          </w:rPr>
          <w:instrText xml:space="preserve"> PAGEREF _Toc521488590 \h </w:instrText>
        </w:r>
        <w:r w:rsidR="00BA3EE7">
          <w:rPr>
            <w:noProof/>
            <w:webHidden/>
          </w:rPr>
        </w:r>
        <w:r w:rsidR="00BA3EE7">
          <w:rPr>
            <w:noProof/>
            <w:webHidden/>
          </w:rPr>
          <w:fldChar w:fldCharType="separate"/>
        </w:r>
        <w:r w:rsidR="00BA3EE7">
          <w:rPr>
            <w:noProof/>
            <w:webHidden/>
          </w:rPr>
          <w:t>15</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91" w:history="1">
        <w:r w:rsidR="00BA3EE7" w:rsidRPr="00C0400A">
          <w:rPr>
            <w:rStyle w:val="Hyperlink"/>
            <w:noProof/>
          </w:rPr>
          <w:t>4.4.9</w:t>
        </w:r>
        <w:r w:rsidR="00BA3EE7">
          <w:rPr>
            <w:rFonts w:asciiTheme="minorHAnsi" w:eastAsiaTheme="minorEastAsia" w:hAnsiTheme="minorHAnsi" w:cstheme="minorBidi"/>
            <w:i w:val="0"/>
            <w:iCs w:val="0"/>
            <w:noProof/>
            <w:sz w:val="22"/>
            <w:szCs w:val="22"/>
          </w:rPr>
          <w:tab/>
        </w:r>
        <w:r w:rsidR="00BA3EE7" w:rsidRPr="00C0400A">
          <w:rPr>
            <w:rStyle w:val="Hyperlink"/>
            <w:noProof/>
          </w:rPr>
          <w:t>Program Management—Payment Processes</w:t>
        </w:r>
        <w:r w:rsidR="00BA3EE7">
          <w:rPr>
            <w:noProof/>
            <w:webHidden/>
          </w:rPr>
          <w:tab/>
        </w:r>
        <w:r w:rsidR="00BA3EE7">
          <w:rPr>
            <w:noProof/>
            <w:webHidden/>
          </w:rPr>
          <w:fldChar w:fldCharType="begin"/>
        </w:r>
        <w:r w:rsidR="00BA3EE7">
          <w:rPr>
            <w:noProof/>
            <w:webHidden/>
          </w:rPr>
          <w:instrText xml:space="preserve"> PAGEREF _Toc521488591 \h </w:instrText>
        </w:r>
        <w:r w:rsidR="00BA3EE7">
          <w:rPr>
            <w:noProof/>
            <w:webHidden/>
          </w:rPr>
        </w:r>
        <w:r w:rsidR="00BA3EE7">
          <w:rPr>
            <w:noProof/>
            <w:webHidden/>
          </w:rPr>
          <w:fldChar w:fldCharType="separate"/>
        </w:r>
        <w:r w:rsidR="00BA3EE7">
          <w:rPr>
            <w:noProof/>
            <w:webHidden/>
          </w:rPr>
          <w:t>16</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92" w:history="1">
        <w:r w:rsidR="00BA3EE7" w:rsidRPr="00C0400A">
          <w:rPr>
            <w:rStyle w:val="Hyperlink"/>
            <w:noProof/>
          </w:rPr>
          <w:t>4.5.</w:t>
        </w:r>
        <w:r w:rsidR="00BA3EE7">
          <w:rPr>
            <w:rFonts w:asciiTheme="minorHAnsi" w:eastAsiaTheme="minorEastAsia" w:hAnsiTheme="minorHAnsi" w:cstheme="minorBidi"/>
            <w:smallCaps w:val="0"/>
            <w:noProof/>
            <w:sz w:val="22"/>
            <w:szCs w:val="22"/>
          </w:rPr>
          <w:tab/>
        </w:r>
        <w:r w:rsidR="00BA3EE7" w:rsidRPr="00C0400A">
          <w:rPr>
            <w:rStyle w:val="Hyperlink"/>
            <w:noProof/>
          </w:rPr>
          <w:t>Advanced Primary Care Practice</w:t>
        </w:r>
        <w:r w:rsidR="00BA3EE7">
          <w:rPr>
            <w:noProof/>
            <w:webHidden/>
          </w:rPr>
          <w:tab/>
        </w:r>
        <w:r w:rsidR="00BA3EE7">
          <w:rPr>
            <w:noProof/>
            <w:webHidden/>
          </w:rPr>
          <w:fldChar w:fldCharType="begin"/>
        </w:r>
        <w:r w:rsidR="00BA3EE7">
          <w:rPr>
            <w:noProof/>
            <w:webHidden/>
          </w:rPr>
          <w:instrText xml:space="preserve"> PAGEREF _Toc521488592 \h </w:instrText>
        </w:r>
        <w:r w:rsidR="00BA3EE7">
          <w:rPr>
            <w:noProof/>
            <w:webHidden/>
          </w:rPr>
        </w:r>
        <w:r w:rsidR="00BA3EE7">
          <w:rPr>
            <w:noProof/>
            <w:webHidden/>
          </w:rPr>
          <w:fldChar w:fldCharType="separate"/>
        </w:r>
        <w:r w:rsidR="00BA3EE7">
          <w:rPr>
            <w:noProof/>
            <w:webHidden/>
          </w:rPr>
          <w:t>17</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93" w:history="1">
        <w:r w:rsidR="00BA3EE7" w:rsidRPr="00C0400A">
          <w:rPr>
            <w:rStyle w:val="Hyperlink"/>
            <w:noProof/>
          </w:rPr>
          <w:t>4.5.1</w:t>
        </w:r>
        <w:r w:rsidR="00BA3EE7">
          <w:rPr>
            <w:rFonts w:asciiTheme="minorHAnsi" w:eastAsiaTheme="minorEastAsia" w:hAnsiTheme="minorHAnsi" w:cstheme="minorBidi"/>
            <w:i w:val="0"/>
            <w:iCs w:val="0"/>
            <w:noProof/>
            <w:sz w:val="22"/>
            <w:szCs w:val="22"/>
          </w:rPr>
          <w:tab/>
        </w:r>
        <w:r w:rsidR="00BA3EE7" w:rsidRPr="00C0400A">
          <w:rPr>
            <w:rStyle w:val="Hyperlink"/>
            <w:noProof/>
          </w:rPr>
          <w:t>Definition</w:t>
        </w:r>
        <w:r w:rsidR="00BA3EE7">
          <w:rPr>
            <w:noProof/>
            <w:webHidden/>
          </w:rPr>
          <w:tab/>
        </w:r>
        <w:r w:rsidR="00BA3EE7">
          <w:rPr>
            <w:noProof/>
            <w:webHidden/>
          </w:rPr>
          <w:fldChar w:fldCharType="begin"/>
        </w:r>
        <w:r w:rsidR="00BA3EE7">
          <w:rPr>
            <w:noProof/>
            <w:webHidden/>
          </w:rPr>
          <w:instrText xml:space="preserve"> PAGEREF _Toc521488593 \h </w:instrText>
        </w:r>
        <w:r w:rsidR="00BA3EE7">
          <w:rPr>
            <w:noProof/>
            <w:webHidden/>
          </w:rPr>
        </w:r>
        <w:r w:rsidR="00BA3EE7">
          <w:rPr>
            <w:noProof/>
            <w:webHidden/>
          </w:rPr>
          <w:fldChar w:fldCharType="separate"/>
        </w:r>
        <w:r w:rsidR="00BA3EE7">
          <w:rPr>
            <w:noProof/>
            <w:webHidden/>
          </w:rPr>
          <w:t>17</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94" w:history="1">
        <w:r w:rsidR="00BA3EE7" w:rsidRPr="00C0400A">
          <w:rPr>
            <w:rStyle w:val="Hyperlink"/>
            <w:noProof/>
          </w:rPr>
          <w:t>4.5.2</w:t>
        </w:r>
        <w:r w:rsidR="00BA3EE7">
          <w:rPr>
            <w:rFonts w:asciiTheme="minorHAnsi" w:eastAsiaTheme="minorEastAsia" w:hAnsiTheme="minorHAnsi" w:cstheme="minorBidi"/>
            <w:i w:val="0"/>
            <w:iCs w:val="0"/>
            <w:noProof/>
            <w:sz w:val="22"/>
            <w:szCs w:val="22"/>
          </w:rPr>
          <w:tab/>
        </w:r>
        <w:r w:rsidR="00BA3EE7" w:rsidRPr="00C0400A">
          <w:rPr>
            <w:rStyle w:val="Hyperlink"/>
            <w:noProof/>
          </w:rPr>
          <w:t>NCQA Scoring</w:t>
        </w:r>
        <w:r w:rsidR="00BA3EE7">
          <w:rPr>
            <w:noProof/>
            <w:webHidden/>
          </w:rPr>
          <w:tab/>
        </w:r>
        <w:r w:rsidR="00BA3EE7">
          <w:rPr>
            <w:noProof/>
            <w:webHidden/>
          </w:rPr>
          <w:fldChar w:fldCharType="begin"/>
        </w:r>
        <w:r w:rsidR="00BA3EE7">
          <w:rPr>
            <w:noProof/>
            <w:webHidden/>
          </w:rPr>
          <w:instrText xml:space="preserve"> PAGEREF _Toc521488594 \h </w:instrText>
        </w:r>
        <w:r w:rsidR="00BA3EE7">
          <w:rPr>
            <w:noProof/>
            <w:webHidden/>
          </w:rPr>
        </w:r>
        <w:r w:rsidR="00BA3EE7">
          <w:rPr>
            <w:noProof/>
            <w:webHidden/>
          </w:rPr>
          <w:fldChar w:fldCharType="separate"/>
        </w:r>
        <w:r w:rsidR="00BA3EE7">
          <w:rPr>
            <w:noProof/>
            <w:webHidden/>
          </w:rPr>
          <w:t>17</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95" w:history="1">
        <w:r w:rsidR="00BA3EE7" w:rsidRPr="00C0400A">
          <w:rPr>
            <w:rStyle w:val="Hyperlink"/>
            <w:noProof/>
          </w:rPr>
          <w:t>4.6.</w:t>
        </w:r>
        <w:r w:rsidR="00BA3EE7">
          <w:rPr>
            <w:rFonts w:asciiTheme="minorHAnsi" w:eastAsiaTheme="minorEastAsia" w:hAnsiTheme="minorHAnsi" w:cstheme="minorBidi"/>
            <w:smallCaps w:val="0"/>
            <w:noProof/>
            <w:sz w:val="22"/>
            <w:szCs w:val="22"/>
          </w:rPr>
          <w:tab/>
        </w:r>
        <w:r w:rsidR="00BA3EE7" w:rsidRPr="00C0400A">
          <w:rPr>
            <w:rStyle w:val="Hyperlink"/>
            <w:noProof/>
          </w:rPr>
          <w:t>Expansion and Quality Improvement Program (EQuIP)</w:t>
        </w:r>
        <w:r w:rsidR="00BA3EE7">
          <w:rPr>
            <w:noProof/>
            <w:webHidden/>
          </w:rPr>
          <w:tab/>
        </w:r>
        <w:r w:rsidR="00BA3EE7">
          <w:rPr>
            <w:noProof/>
            <w:webHidden/>
          </w:rPr>
          <w:fldChar w:fldCharType="begin"/>
        </w:r>
        <w:r w:rsidR="00BA3EE7">
          <w:rPr>
            <w:noProof/>
            <w:webHidden/>
          </w:rPr>
          <w:instrText xml:space="preserve"> PAGEREF _Toc521488595 \h </w:instrText>
        </w:r>
        <w:r w:rsidR="00BA3EE7">
          <w:rPr>
            <w:noProof/>
            <w:webHidden/>
          </w:rPr>
        </w:r>
        <w:r w:rsidR="00BA3EE7">
          <w:rPr>
            <w:noProof/>
            <w:webHidden/>
          </w:rPr>
          <w:fldChar w:fldCharType="separate"/>
        </w:r>
        <w:r w:rsidR="00BA3EE7">
          <w:rPr>
            <w:noProof/>
            <w:webHidden/>
          </w:rPr>
          <w:t>18</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96" w:history="1">
        <w:r w:rsidR="00BA3EE7" w:rsidRPr="00C0400A">
          <w:rPr>
            <w:rStyle w:val="Hyperlink"/>
            <w:noProof/>
          </w:rPr>
          <w:t>4.6.1</w:t>
        </w:r>
        <w:r w:rsidR="00BA3EE7">
          <w:rPr>
            <w:rFonts w:asciiTheme="minorHAnsi" w:eastAsiaTheme="minorEastAsia" w:hAnsiTheme="minorHAnsi" w:cstheme="minorBidi"/>
            <w:i w:val="0"/>
            <w:iCs w:val="0"/>
            <w:noProof/>
            <w:sz w:val="22"/>
            <w:szCs w:val="22"/>
          </w:rPr>
          <w:tab/>
        </w:r>
        <w:r w:rsidR="00BA3EE7" w:rsidRPr="00C0400A">
          <w:rPr>
            <w:rStyle w:val="Hyperlink"/>
            <w:noProof/>
          </w:rPr>
          <w:t>Quality Improvement (QI) Facilitation</w:t>
        </w:r>
        <w:r w:rsidR="00BA3EE7">
          <w:rPr>
            <w:noProof/>
            <w:webHidden/>
          </w:rPr>
          <w:tab/>
        </w:r>
        <w:r w:rsidR="00BA3EE7">
          <w:rPr>
            <w:noProof/>
            <w:webHidden/>
          </w:rPr>
          <w:fldChar w:fldCharType="begin"/>
        </w:r>
        <w:r w:rsidR="00BA3EE7">
          <w:rPr>
            <w:noProof/>
            <w:webHidden/>
          </w:rPr>
          <w:instrText xml:space="preserve"> PAGEREF _Toc521488596 \h </w:instrText>
        </w:r>
        <w:r w:rsidR="00BA3EE7">
          <w:rPr>
            <w:noProof/>
            <w:webHidden/>
          </w:rPr>
        </w:r>
        <w:r w:rsidR="00BA3EE7">
          <w:rPr>
            <w:noProof/>
            <w:webHidden/>
          </w:rPr>
          <w:fldChar w:fldCharType="separate"/>
        </w:r>
        <w:r w:rsidR="00BA3EE7">
          <w:rPr>
            <w:noProof/>
            <w:webHidden/>
          </w:rPr>
          <w:t>18</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97" w:history="1">
        <w:r w:rsidR="00BA3EE7" w:rsidRPr="00C0400A">
          <w:rPr>
            <w:rStyle w:val="Hyperlink"/>
            <w:noProof/>
          </w:rPr>
          <w:t>4.6.2</w:t>
        </w:r>
        <w:r w:rsidR="00BA3EE7">
          <w:rPr>
            <w:rFonts w:asciiTheme="minorHAnsi" w:eastAsiaTheme="minorEastAsia" w:hAnsiTheme="minorHAnsi" w:cstheme="minorBidi"/>
            <w:i w:val="0"/>
            <w:iCs w:val="0"/>
            <w:noProof/>
            <w:sz w:val="22"/>
            <w:szCs w:val="22"/>
          </w:rPr>
          <w:tab/>
        </w:r>
        <w:r w:rsidR="00BA3EE7" w:rsidRPr="00C0400A">
          <w:rPr>
            <w:rStyle w:val="Hyperlink"/>
            <w:noProof/>
          </w:rPr>
          <w:t>Quality Improvement Facilitator—Caseloads and Coverage</w:t>
        </w:r>
        <w:r w:rsidR="00BA3EE7">
          <w:rPr>
            <w:noProof/>
            <w:webHidden/>
          </w:rPr>
          <w:tab/>
        </w:r>
        <w:r w:rsidR="00BA3EE7">
          <w:rPr>
            <w:noProof/>
            <w:webHidden/>
          </w:rPr>
          <w:fldChar w:fldCharType="begin"/>
        </w:r>
        <w:r w:rsidR="00BA3EE7">
          <w:rPr>
            <w:noProof/>
            <w:webHidden/>
          </w:rPr>
          <w:instrText xml:space="preserve"> PAGEREF _Toc521488597 \h </w:instrText>
        </w:r>
        <w:r w:rsidR="00BA3EE7">
          <w:rPr>
            <w:noProof/>
            <w:webHidden/>
          </w:rPr>
        </w:r>
        <w:r w:rsidR="00BA3EE7">
          <w:rPr>
            <w:noProof/>
            <w:webHidden/>
          </w:rPr>
          <w:fldChar w:fldCharType="separate"/>
        </w:r>
        <w:r w:rsidR="00BA3EE7">
          <w:rPr>
            <w:noProof/>
            <w:webHidden/>
          </w:rPr>
          <w:t>20</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598" w:history="1">
        <w:r w:rsidR="00BA3EE7" w:rsidRPr="00C0400A">
          <w:rPr>
            <w:rStyle w:val="Hyperlink"/>
            <w:noProof/>
          </w:rPr>
          <w:t>4.6.3</w:t>
        </w:r>
        <w:r w:rsidR="00BA3EE7">
          <w:rPr>
            <w:rFonts w:asciiTheme="minorHAnsi" w:eastAsiaTheme="minorEastAsia" w:hAnsiTheme="minorHAnsi" w:cstheme="minorBidi"/>
            <w:i w:val="0"/>
            <w:iCs w:val="0"/>
            <w:noProof/>
            <w:sz w:val="22"/>
            <w:szCs w:val="22"/>
          </w:rPr>
          <w:tab/>
        </w:r>
        <w:r w:rsidR="00BA3EE7" w:rsidRPr="00C0400A">
          <w:rPr>
            <w:rStyle w:val="Hyperlink"/>
            <w:noProof/>
          </w:rPr>
          <w:t>Quality Improvement Facilitator—Requirements and Reporting</w:t>
        </w:r>
        <w:r w:rsidR="00BA3EE7">
          <w:rPr>
            <w:noProof/>
            <w:webHidden/>
          </w:rPr>
          <w:tab/>
        </w:r>
        <w:r w:rsidR="00BA3EE7">
          <w:rPr>
            <w:noProof/>
            <w:webHidden/>
          </w:rPr>
          <w:fldChar w:fldCharType="begin"/>
        </w:r>
        <w:r w:rsidR="00BA3EE7">
          <w:rPr>
            <w:noProof/>
            <w:webHidden/>
          </w:rPr>
          <w:instrText xml:space="preserve"> PAGEREF _Toc521488598 \h </w:instrText>
        </w:r>
        <w:r w:rsidR="00BA3EE7">
          <w:rPr>
            <w:noProof/>
            <w:webHidden/>
          </w:rPr>
        </w:r>
        <w:r w:rsidR="00BA3EE7">
          <w:rPr>
            <w:noProof/>
            <w:webHidden/>
          </w:rPr>
          <w:fldChar w:fldCharType="separate"/>
        </w:r>
        <w:r w:rsidR="00BA3EE7">
          <w:rPr>
            <w:noProof/>
            <w:webHidden/>
          </w:rPr>
          <w:t>21</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599" w:history="1">
        <w:r w:rsidR="00BA3EE7" w:rsidRPr="00C0400A">
          <w:rPr>
            <w:rStyle w:val="Hyperlink"/>
            <w:noProof/>
          </w:rPr>
          <w:t>4.7.</w:t>
        </w:r>
        <w:r w:rsidR="00BA3EE7">
          <w:rPr>
            <w:rFonts w:asciiTheme="minorHAnsi" w:eastAsiaTheme="minorEastAsia" w:hAnsiTheme="minorHAnsi" w:cstheme="minorBidi"/>
            <w:smallCaps w:val="0"/>
            <w:noProof/>
            <w:sz w:val="22"/>
            <w:szCs w:val="22"/>
          </w:rPr>
          <w:tab/>
        </w:r>
        <w:r w:rsidR="00BA3EE7" w:rsidRPr="00C0400A">
          <w:rPr>
            <w:rStyle w:val="Hyperlink"/>
            <w:noProof/>
          </w:rPr>
          <w:t>Community-Based Self-Management Peer Support Programs</w:t>
        </w:r>
        <w:r w:rsidR="00BA3EE7">
          <w:rPr>
            <w:noProof/>
            <w:webHidden/>
          </w:rPr>
          <w:tab/>
        </w:r>
        <w:r w:rsidR="00BA3EE7">
          <w:rPr>
            <w:noProof/>
            <w:webHidden/>
          </w:rPr>
          <w:fldChar w:fldCharType="begin"/>
        </w:r>
        <w:r w:rsidR="00BA3EE7">
          <w:rPr>
            <w:noProof/>
            <w:webHidden/>
          </w:rPr>
          <w:instrText xml:space="preserve"> PAGEREF _Toc521488599 \h </w:instrText>
        </w:r>
        <w:r w:rsidR="00BA3EE7">
          <w:rPr>
            <w:noProof/>
            <w:webHidden/>
          </w:rPr>
        </w:r>
        <w:r w:rsidR="00BA3EE7">
          <w:rPr>
            <w:noProof/>
            <w:webHidden/>
          </w:rPr>
          <w:fldChar w:fldCharType="separate"/>
        </w:r>
        <w:r w:rsidR="00BA3EE7">
          <w:rPr>
            <w:noProof/>
            <w:webHidden/>
          </w:rPr>
          <w:t>21</w:t>
        </w:r>
        <w:r w:rsidR="00BA3EE7">
          <w:rPr>
            <w:noProof/>
            <w:webHidden/>
          </w:rPr>
          <w:fldChar w:fldCharType="end"/>
        </w:r>
      </w:hyperlink>
    </w:p>
    <w:p w:rsidR="00BA3EE7" w:rsidRDefault="00AE3066">
      <w:pPr>
        <w:pStyle w:val="TOC1"/>
        <w:rPr>
          <w:rFonts w:asciiTheme="minorHAnsi" w:eastAsiaTheme="minorEastAsia" w:hAnsiTheme="minorHAnsi" w:cstheme="minorBidi"/>
          <w:b w:val="0"/>
          <w:bCs w:val="0"/>
          <w:sz w:val="22"/>
          <w:szCs w:val="22"/>
        </w:rPr>
      </w:pPr>
      <w:hyperlink w:anchor="_Toc521488600" w:history="1">
        <w:r w:rsidR="00BA3EE7" w:rsidRPr="00C0400A">
          <w:rPr>
            <w:rStyle w:val="Hyperlink"/>
          </w:rPr>
          <w:t>5.</w:t>
        </w:r>
        <w:r w:rsidR="00BA3EE7">
          <w:rPr>
            <w:rFonts w:asciiTheme="minorHAnsi" w:eastAsiaTheme="minorEastAsia" w:hAnsiTheme="minorHAnsi" w:cstheme="minorBidi"/>
            <w:b w:val="0"/>
            <w:bCs w:val="0"/>
            <w:sz w:val="22"/>
            <w:szCs w:val="22"/>
          </w:rPr>
          <w:tab/>
        </w:r>
        <w:r w:rsidR="00BA3EE7" w:rsidRPr="00C0400A">
          <w:rPr>
            <w:rStyle w:val="Hyperlink"/>
          </w:rPr>
          <w:t>Patient Attribution &amp; Enhanced Payments</w:t>
        </w:r>
        <w:r w:rsidR="00BA3EE7">
          <w:rPr>
            <w:webHidden/>
          </w:rPr>
          <w:tab/>
        </w:r>
        <w:r w:rsidR="00BA3EE7">
          <w:rPr>
            <w:webHidden/>
          </w:rPr>
          <w:fldChar w:fldCharType="begin"/>
        </w:r>
        <w:r w:rsidR="00BA3EE7">
          <w:rPr>
            <w:webHidden/>
          </w:rPr>
          <w:instrText xml:space="preserve"> PAGEREF _Toc521488600 \h </w:instrText>
        </w:r>
        <w:r w:rsidR="00BA3EE7">
          <w:rPr>
            <w:webHidden/>
          </w:rPr>
        </w:r>
        <w:r w:rsidR="00BA3EE7">
          <w:rPr>
            <w:webHidden/>
          </w:rPr>
          <w:fldChar w:fldCharType="separate"/>
        </w:r>
        <w:r w:rsidR="00BA3EE7">
          <w:rPr>
            <w:webHidden/>
          </w:rPr>
          <w:t>25</w:t>
        </w:r>
        <w:r w:rsidR="00BA3EE7">
          <w:rPr>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01" w:history="1">
        <w:r w:rsidR="00BA3EE7" w:rsidRPr="00C0400A">
          <w:rPr>
            <w:rStyle w:val="Hyperlink"/>
            <w:noProof/>
          </w:rPr>
          <w:t>5.1.</w:t>
        </w:r>
        <w:r w:rsidR="00BA3EE7">
          <w:rPr>
            <w:rFonts w:asciiTheme="minorHAnsi" w:eastAsiaTheme="minorEastAsia" w:hAnsiTheme="minorHAnsi" w:cstheme="minorBidi"/>
            <w:smallCaps w:val="0"/>
            <w:noProof/>
            <w:sz w:val="22"/>
            <w:szCs w:val="22"/>
          </w:rPr>
          <w:tab/>
        </w:r>
        <w:r w:rsidR="00BA3EE7" w:rsidRPr="00C0400A">
          <w:rPr>
            <w:rStyle w:val="Hyperlink"/>
            <w:noProof/>
          </w:rPr>
          <w:t>Patient-Centered Medical Home (PCMH) Payments</w:t>
        </w:r>
        <w:r w:rsidR="00BA3EE7">
          <w:rPr>
            <w:noProof/>
            <w:webHidden/>
          </w:rPr>
          <w:tab/>
        </w:r>
        <w:r w:rsidR="00BA3EE7">
          <w:rPr>
            <w:noProof/>
            <w:webHidden/>
          </w:rPr>
          <w:fldChar w:fldCharType="begin"/>
        </w:r>
        <w:r w:rsidR="00BA3EE7">
          <w:rPr>
            <w:noProof/>
            <w:webHidden/>
          </w:rPr>
          <w:instrText xml:space="preserve"> PAGEREF _Toc521488601 \h </w:instrText>
        </w:r>
        <w:r w:rsidR="00BA3EE7">
          <w:rPr>
            <w:noProof/>
            <w:webHidden/>
          </w:rPr>
        </w:r>
        <w:r w:rsidR="00BA3EE7">
          <w:rPr>
            <w:noProof/>
            <w:webHidden/>
          </w:rPr>
          <w:fldChar w:fldCharType="separate"/>
        </w:r>
        <w:r w:rsidR="00BA3EE7">
          <w:rPr>
            <w:noProof/>
            <w:webHidden/>
          </w:rPr>
          <w:t>25</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02" w:history="1">
        <w:r w:rsidR="00BA3EE7" w:rsidRPr="00C0400A">
          <w:rPr>
            <w:rStyle w:val="Hyperlink"/>
            <w:noProof/>
          </w:rPr>
          <w:t>5.1.1</w:t>
        </w:r>
        <w:r w:rsidR="00BA3EE7">
          <w:rPr>
            <w:rFonts w:asciiTheme="minorHAnsi" w:eastAsiaTheme="minorEastAsia" w:hAnsiTheme="minorHAnsi" w:cstheme="minorBidi"/>
            <w:i w:val="0"/>
            <w:iCs w:val="0"/>
            <w:noProof/>
            <w:sz w:val="22"/>
            <w:szCs w:val="22"/>
          </w:rPr>
          <w:tab/>
        </w:r>
        <w:r w:rsidR="00BA3EE7" w:rsidRPr="00C0400A">
          <w:rPr>
            <w:rStyle w:val="Hyperlink"/>
            <w:noProof/>
          </w:rPr>
          <w:t>PCMH PPPM Payment Model (Medicaid and Commercial Insurers)</w:t>
        </w:r>
        <w:r w:rsidR="00BA3EE7">
          <w:rPr>
            <w:noProof/>
            <w:webHidden/>
          </w:rPr>
          <w:tab/>
        </w:r>
        <w:r w:rsidR="00BA3EE7">
          <w:rPr>
            <w:noProof/>
            <w:webHidden/>
          </w:rPr>
          <w:fldChar w:fldCharType="begin"/>
        </w:r>
        <w:r w:rsidR="00BA3EE7">
          <w:rPr>
            <w:noProof/>
            <w:webHidden/>
          </w:rPr>
          <w:instrText xml:space="preserve"> PAGEREF _Toc521488602 \h </w:instrText>
        </w:r>
        <w:r w:rsidR="00BA3EE7">
          <w:rPr>
            <w:noProof/>
            <w:webHidden/>
          </w:rPr>
        </w:r>
        <w:r w:rsidR="00BA3EE7">
          <w:rPr>
            <w:noProof/>
            <w:webHidden/>
          </w:rPr>
          <w:fldChar w:fldCharType="separate"/>
        </w:r>
        <w:r w:rsidR="00BA3EE7">
          <w:rPr>
            <w:noProof/>
            <w:webHidden/>
          </w:rPr>
          <w:t>27</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03" w:history="1">
        <w:r w:rsidR="00BA3EE7" w:rsidRPr="00C0400A">
          <w:rPr>
            <w:rStyle w:val="Hyperlink"/>
            <w:noProof/>
          </w:rPr>
          <w:t>5.2.</w:t>
        </w:r>
        <w:r w:rsidR="00BA3EE7">
          <w:rPr>
            <w:rFonts w:asciiTheme="minorHAnsi" w:eastAsiaTheme="minorEastAsia" w:hAnsiTheme="minorHAnsi" w:cstheme="minorBidi"/>
            <w:smallCaps w:val="0"/>
            <w:noProof/>
            <w:sz w:val="22"/>
            <w:szCs w:val="22"/>
          </w:rPr>
          <w:tab/>
        </w:r>
        <w:r w:rsidR="00BA3EE7" w:rsidRPr="00C0400A">
          <w:rPr>
            <w:rStyle w:val="Hyperlink"/>
            <w:noProof/>
          </w:rPr>
          <w:t>Community Health Team Payments</w:t>
        </w:r>
        <w:r w:rsidR="00BA3EE7">
          <w:rPr>
            <w:noProof/>
            <w:webHidden/>
          </w:rPr>
          <w:tab/>
        </w:r>
        <w:r w:rsidR="00BA3EE7">
          <w:rPr>
            <w:noProof/>
            <w:webHidden/>
          </w:rPr>
          <w:fldChar w:fldCharType="begin"/>
        </w:r>
        <w:r w:rsidR="00BA3EE7">
          <w:rPr>
            <w:noProof/>
            <w:webHidden/>
          </w:rPr>
          <w:instrText xml:space="preserve"> PAGEREF _Toc521488603 \h </w:instrText>
        </w:r>
        <w:r w:rsidR="00BA3EE7">
          <w:rPr>
            <w:noProof/>
            <w:webHidden/>
          </w:rPr>
        </w:r>
        <w:r w:rsidR="00BA3EE7">
          <w:rPr>
            <w:noProof/>
            <w:webHidden/>
          </w:rPr>
          <w:fldChar w:fldCharType="separate"/>
        </w:r>
        <w:r w:rsidR="00BA3EE7">
          <w:rPr>
            <w:noProof/>
            <w:webHidden/>
          </w:rPr>
          <w:t>30</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04" w:history="1">
        <w:r w:rsidR="00BA3EE7" w:rsidRPr="00C0400A">
          <w:rPr>
            <w:rStyle w:val="Hyperlink"/>
            <w:noProof/>
          </w:rPr>
          <w:t>5.3.</w:t>
        </w:r>
        <w:r w:rsidR="00BA3EE7">
          <w:rPr>
            <w:rFonts w:asciiTheme="minorHAnsi" w:eastAsiaTheme="minorEastAsia" w:hAnsiTheme="minorHAnsi" w:cstheme="minorBidi"/>
            <w:smallCaps w:val="0"/>
            <w:noProof/>
            <w:sz w:val="22"/>
            <w:szCs w:val="22"/>
          </w:rPr>
          <w:tab/>
        </w:r>
        <w:r w:rsidR="00BA3EE7" w:rsidRPr="00C0400A">
          <w:rPr>
            <w:rStyle w:val="Hyperlink"/>
            <w:noProof/>
          </w:rPr>
          <w:t>NCQA Recognition and PCMH PPPM and CHT Payments</w:t>
        </w:r>
        <w:r w:rsidR="00BA3EE7">
          <w:rPr>
            <w:noProof/>
            <w:webHidden/>
          </w:rPr>
          <w:tab/>
        </w:r>
        <w:r w:rsidR="00BA3EE7">
          <w:rPr>
            <w:noProof/>
            <w:webHidden/>
          </w:rPr>
          <w:fldChar w:fldCharType="begin"/>
        </w:r>
        <w:r w:rsidR="00BA3EE7">
          <w:rPr>
            <w:noProof/>
            <w:webHidden/>
          </w:rPr>
          <w:instrText xml:space="preserve"> PAGEREF _Toc521488604 \h </w:instrText>
        </w:r>
        <w:r w:rsidR="00BA3EE7">
          <w:rPr>
            <w:noProof/>
            <w:webHidden/>
          </w:rPr>
        </w:r>
        <w:r w:rsidR="00BA3EE7">
          <w:rPr>
            <w:noProof/>
            <w:webHidden/>
          </w:rPr>
          <w:fldChar w:fldCharType="separate"/>
        </w:r>
        <w:r w:rsidR="00BA3EE7">
          <w:rPr>
            <w:noProof/>
            <w:webHidden/>
          </w:rPr>
          <w:t>33</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05" w:history="1">
        <w:r w:rsidR="00BA3EE7" w:rsidRPr="00C0400A">
          <w:rPr>
            <w:rStyle w:val="Hyperlink"/>
            <w:noProof/>
          </w:rPr>
          <w:t>5.3.1</w:t>
        </w:r>
        <w:r w:rsidR="00BA3EE7">
          <w:rPr>
            <w:rFonts w:asciiTheme="minorHAnsi" w:eastAsiaTheme="minorEastAsia" w:hAnsiTheme="minorHAnsi" w:cstheme="minorBidi"/>
            <w:i w:val="0"/>
            <w:iCs w:val="0"/>
            <w:noProof/>
            <w:sz w:val="22"/>
            <w:szCs w:val="22"/>
          </w:rPr>
          <w:tab/>
        </w:r>
        <w:r w:rsidR="00BA3EE7" w:rsidRPr="00C0400A">
          <w:rPr>
            <w:rStyle w:val="Hyperlink"/>
            <w:noProof/>
          </w:rPr>
          <w:t>Procedure for sustaining NCQA PCMH recognition and PCMH PPPM and CHT payments if current NCQA recognition lapses</w:t>
        </w:r>
        <w:r w:rsidR="00BA3EE7">
          <w:rPr>
            <w:noProof/>
            <w:webHidden/>
          </w:rPr>
          <w:tab/>
        </w:r>
        <w:r w:rsidR="00BA3EE7">
          <w:rPr>
            <w:noProof/>
            <w:webHidden/>
          </w:rPr>
          <w:fldChar w:fldCharType="begin"/>
        </w:r>
        <w:r w:rsidR="00BA3EE7">
          <w:rPr>
            <w:noProof/>
            <w:webHidden/>
          </w:rPr>
          <w:instrText xml:space="preserve"> PAGEREF _Toc521488605 \h </w:instrText>
        </w:r>
        <w:r w:rsidR="00BA3EE7">
          <w:rPr>
            <w:noProof/>
            <w:webHidden/>
          </w:rPr>
        </w:r>
        <w:r w:rsidR="00BA3EE7">
          <w:rPr>
            <w:noProof/>
            <w:webHidden/>
          </w:rPr>
          <w:fldChar w:fldCharType="separate"/>
        </w:r>
        <w:r w:rsidR="00BA3EE7">
          <w:rPr>
            <w:noProof/>
            <w:webHidden/>
          </w:rPr>
          <w:t>33</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06" w:history="1">
        <w:r w:rsidR="00BA3EE7" w:rsidRPr="00C0400A">
          <w:rPr>
            <w:rStyle w:val="Hyperlink"/>
            <w:noProof/>
          </w:rPr>
          <w:t>5.3.2</w:t>
        </w:r>
        <w:r w:rsidR="00BA3EE7">
          <w:rPr>
            <w:rFonts w:asciiTheme="minorHAnsi" w:eastAsiaTheme="minorEastAsia" w:hAnsiTheme="minorHAnsi" w:cstheme="minorBidi"/>
            <w:i w:val="0"/>
            <w:iCs w:val="0"/>
            <w:noProof/>
            <w:sz w:val="22"/>
            <w:szCs w:val="22"/>
          </w:rPr>
          <w:tab/>
        </w:r>
        <w:r w:rsidR="00BA3EE7" w:rsidRPr="00C0400A">
          <w:rPr>
            <w:rStyle w:val="Hyperlink"/>
            <w:noProof/>
          </w:rPr>
          <w:t>Procedure for reducing PCMH PPPM and CHT payments for Blueprint practices if initial NCQA recognition is not attained</w:t>
        </w:r>
        <w:r w:rsidR="00BA3EE7">
          <w:rPr>
            <w:noProof/>
            <w:webHidden/>
          </w:rPr>
          <w:tab/>
        </w:r>
        <w:r w:rsidR="00BA3EE7">
          <w:rPr>
            <w:noProof/>
            <w:webHidden/>
          </w:rPr>
          <w:fldChar w:fldCharType="begin"/>
        </w:r>
        <w:r w:rsidR="00BA3EE7">
          <w:rPr>
            <w:noProof/>
            <w:webHidden/>
          </w:rPr>
          <w:instrText xml:space="preserve"> PAGEREF _Toc521488606 \h </w:instrText>
        </w:r>
        <w:r w:rsidR="00BA3EE7">
          <w:rPr>
            <w:noProof/>
            <w:webHidden/>
          </w:rPr>
        </w:r>
        <w:r w:rsidR="00BA3EE7">
          <w:rPr>
            <w:noProof/>
            <w:webHidden/>
          </w:rPr>
          <w:fldChar w:fldCharType="separate"/>
        </w:r>
        <w:r w:rsidR="00BA3EE7">
          <w:rPr>
            <w:noProof/>
            <w:webHidden/>
          </w:rPr>
          <w:t>34</w:t>
        </w:r>
        <w:r w:rsidR="00BA3EE7">
          <w:rPr>
            <w:noProof/>
            <w:webHidden/>
          </w:rPr>
          <w:fldChar w:fldCharType="end"/>
        </w:r>
      </w:hyperlink>
    </w:p>
    <w:p w:rsidR="00BA3EE7" w:rsidRDefault="00AE3066">
      <w:pPr>
        <w:pStyle w:val="TOC1"/>
        <w:rPr>
          <w:rFonts w:asciiTheme="minorHAnsi" w:eastAsiaTheme="minorEastAsia" w:hAnsiTheme="minorHAnsi" w:cstheme="minorBidi"/>
          <w:b w:val="0"/>
          <w:bCs w:val="0"/>
          <w:sz w:val="22"/>
          <w:szCs w:val="22"/>
        </w:rPr>
      </w:pPr>
      <w:hyperlink w:anchor="_Toc521488607" w:history="1">
        <w:r w:rsidR="00BA3EE7" w:rsidRPr="00C0400A">
          <w:rPr>
            <w:rStyle w:val="Hyperlink"/>
          </w:rPr>
          <w:t>6.</w:t>
        </w:r>
        <w:r w:rsidR="00BA3EE7">
          <w:rPr>
            <w:rFonts w:asciiTheme="minorHAnsi" w:eastAsiaTheme="minorEastAsia" w:hAnsiTheme="minorHAnsi" w:cstheme="minorBidi"/>
            <w:b w:val="0"/>
            <w:bCs w:val="0"/>
            <w:sz w:val="22"/>
            <w:szCs w:val="22"/>
          </w:rPr>
          <w:tab/>
        </w:r>
        <w:r w:rsidR="00BA3EE7" w:rsidRPr="00C0400A">
          <w:rPr>
            <w:rStyle w:val="Hyperlink"/>
          </w:rPr>
          <w:t>Women’s Health Initiative</w:t>
        </w:r>
        <w:r w:rsidR="00BA3EE7">
          <w:rPr>
            <w:webHidden/>
          </w:rPr>
          <w:tab/>
        </w:r>
        <w:r w:rsidR="00BA3EE7">
          <w:rPr>
            <w:webHidden/>
          </w:rPr>
          <w:fldChar w:fldCharType="begin"/>
        </w:r>
        <w:r w:rsidR="00BA3EE7">
          <w:rPr>
            <w:webHidden/>
          </w:rPr>
          <w:instrText xml:space="preserve"> PAGEREF _Toc521488607 \h </w:instrText>
        </w:r>
        <w:r w:rsidR="00BA3EE7">
          <w:rPr>
            <w:webHidden/>
          </w:rPr>
        </w:r>
        <w:r w:rsidR="00BA3EE7">
          <w:rPr>
            <w:webHidden/>
          </w:rPr>
          <w:fldChar w:fldCharType="separate"/>
        </w:r>
        <w:r w:rsidR="00BA3EE7">
          <w:rPr>
            <w:webHidden/>
          </w:rPr>
          <w:t>35</w:t>
        </w:r>
        <w:r w:rsidR="00BA3EE7">
          <w:rPr>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08" w:history="1">
        <w:r w:rsidR="00BA3EE7" w:rsidRPr="00C0400A">
          <w:rPr>
            <w:rStyle w:val="Hyperlink"/>
            <w:noProof/>
          </w:rPr>
          <w:t>6.1.</w:t>
        </w:r>
        <w:r w:rsidR="00BA3EE7">
          <w:rPr>
            <w:rFonts w:asciiTheme="minorHAnsi" w:eastAsiaTheme="minorEastAsia" w:hAnsiTheme="minorHAnsi" w:cstheme="minorBidi"/>
            <w:smallCaps w:val="0"/>
            <w:noProof/>
            <w:sz w:val="22"/>
            <w:szCs w:val="22"/>
          </w:rPr>
          <w:tab/>
        </w:r>
        <w:r w:rsidR="00BA3EE7" w:rsidRPr="00C0400A">
          <w:rPr>
            <w:rStyle w:val="Hyperlink"/>
            <w:noProof/>
          </w:rPr>
          <w:t>Women’s Health Initiative Practices</w:t>
        </w:r>
        <w:r w:rsidR="00BA3EE7">
          <w:rPr>
            <w:noProof/>
            <w:webHidden/>
          </w:rPr>
          <w:tab/>
        </w:r>
        <w:r w:rsidR="00BA3EE7">
          <w:rPr>
            <w:noProof/>
            <w:webHidden/>
          </w:rPr>
          <w:fldChar w:fldCharType="begin"/>
        </w:r>
        <w:r w:rsidR="00BA3EE7">
          <w:rPr>
            <w:noProof/>
            <w:webHidden/>
          </w:rPr>
          <w:instrText xml:space="preserve"> PAGEREF _Toc521488608 \h </w:instrText>
        </w:r>
        <w:r w:rsidR="00BA3EE7">
          <w:rPr>
            <w:noProof/>
            <w:webHidden/>
          </w:rPr>
        </w:r>
        <w:r w:rsidR="00BA3EE7">
          <w:rPr>
            <w:noProof/>
            <w:webHidden/>
          </w:rPr>
          <w:fldChar w:fldCharType="separate"/>
        </w:r>
        <w:r w:rsidR="00BA3EE7">
          <w:rPr>
            <w:noProof/>
            <w:webHidden/>
          </w:rPr>
          <w:t>35</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09" w:history="1">
        <w:r w:rsidR="00BA3EE7" w:rsidRPr="00C0400A">
          <w:rPr>
            <w:rStyle w:val="Hyperlink"/>
            <w:noProof/>
          </w:rPr>
          <w:t>6.2.</w:t>
        </w:r>
        <w:r w:rsidR="00BA3EE7">
          <w:rPr>
            <w:rFonts w:asciiTheme="minorHAnsi" w:eastAsiaTheme="minorEastAsia" w:hAnsiTheme="minorHAnsi" w:cstheme="minorBidi"/>
            <w:smallCaps w:val="0"/>
            <w:noProof/>
            <w:sz w:val="22"/>
            <w:szCs w:val="22"/>
          </w:rPr>
          <w:tab/>
        </w:r>
        <w:r w:rsidR="00BA3EE7" w:rsidRPr="00C0400A">
          <w:rPr>
            <w:rStyle w:val="Hyperlink"/>
            <w:noProof/>
          </w:rPr>
          <w:t>WHI Strategies</w:t>
        </w:r>
        <w:r w:rsidR="00BA3EE7">
          <w:rPr>
            <w:noProof/>
            <w:webHidden/>
          </w:rPr>
          <w:tab/>
        </w:r>
        <w:r w:rsidR="00BA3EE7">
          <w:rPr>
            <w:noProof/>
            <w:webHidden/>
          </w:rPr>
          <w:fldChar w:fldCharType="begin"/>
        </w:r>
        <w:r w:rsidR="00BA3EE7">
          <w:rPr>
            <w:noProof/>
            <w:webHidden/>
          </w:rPr>
          <w:instrText xml:space="preserve"> PAGEREF _Toc521488609 \h </w:instrText>
        </w:r>
        <w:r w:rsidR="00BA3EE7">
          <w:rPr>
            <w:noProof/>
            <w:webHidden/>
          </w:rPr>
        </w:r>
        <w:r w:rsidR="00BA3EE7">
          <w:rPr>
            <w:noProof/>
            <w:webHidden/>
          </w:rPr>
          <w:fldChar w:fldCharType="separate"/>
        </w:r>
        <w:r w:rsidR="00BA3EE7">
          <w:rPr>
            <w:noProof/>
            <w:webHidden/>
          </w:rPr>
          <w:t>36</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10" w:history="1">
        <w:r w:rsidR="00BA3EE7" w:rsidRPr="00C0400A">
          <w:rPr>
            <w:rStyle w:val="Hyperlink"/>
            <w:noProof/>
          </w:rPr>
          <w:t>6.3.</w:t>
        </w:r>
        <w:r w:rsidR="00BA3EE7">
          <w:rPr>
            <w:rFonts w:asciiTheme="minorHAnsi" w:eastAsiaTheme="minorEastAsia" w:hAnsiTheme="minorHAnsi" w:cstheme="minorBidi"/>
            <w:smallCaps w:val="0"/>
            <w:noProof/>
            <w:sz w:val="22"/>
            <w:szCs w:val="22"/>
          </w:rPr>
          <w:tab/>
        </w:r>
        <w:r w:rsidR="00BA3EE7" w:rsidRPr="00C0400A">
          <w:rPr>
            <w:rStyle w:val="Hyperlink"/>
            <w:noProof/>
          </w:rPr>
          <w:t>Women’s Health Initiative Payments</w:t>
        </w:r>
        <w:r w:rsidR="00BA3EE7">
          <w:rPr>
            <w:noProof/>
            <w:webHidden/>
          </w:rPr>
          <w:tab/>
        </w:r>
        <w:r w:rsidR="00BA3EE7">
          <w:rPr>
            <w:noProof/>
            <w:webHidden/>
          </w:rPr>
          <w:fldChar w:fldCharType="begin"/>
        </w:r>
        <w:r w:rsidR="00BA3EE7">
          <w:rPr>
            <w:noProof/>
            <w:webHidden/>
          </w:rPr>
          <w:instrText xml:space="preserve"> PAGEREF _Toc521488610 \h </w:instrText>
        </w:r>
        <w:r w:rsidR="00BA3EE7">
          <w:rPr>
            <w:noProof/>
            <w:webHidden/>
          </w:rPr>
        </w:r>
        <w:r w:rsidR="00BA3EE7">
          <w:rPr>
            <w:noProof/>
            <w:webHidden/>
          </w:rPr>
          <w:fldChar w:fldCharType="separate"/>
        </w:r>
        <w:r w:rsidR="00BA3EE7">
          <w:rPr>
            <w:noProof/>
            <w:webHidden/>
          </w:rPr>
          <w:t>37</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11" w:history="1">
        <w:r w:rsidR="00BA3EE7" w:rsidRPr="00C0400A">
          <w:rPr>
            <w:rStyle w:val="Hyperlink"/>
            <w:noProof/>
          </w:rPr>
          <w:t>6.3.1</w:t>
        </w:r>
        <w:r w:rsidR="00BA3EE7">
          <w:rPr>
            <w:rFonts w:asciiTheme="minorHAnsi" w:eastAsiaTheme="minorEastAsia" w:hAnsiTheme="minorHAnsi" w:cstheme="minorBidi"/>
            <w:i w:val="0"/>
            <w:iCs w:val="0"/>
            <w:noProof/>
            <w:sz w:val="22"/>
            <w:szCs w:val="22"/>
          </w:rPr>
          <w:tab/>
        </w:r>
        <w:r w:rsidR="00BA3EE7" w:rsidRPr="00C0400A">
          <w:rPr>
            <w:rStyle w:val="Hyperlink"/>
            <w:noProof/>
          </w:rPr>
          <w:t>WHI Insurers or Payers</w:t>
        </w:r>
        <w:r w:rsidR="00BA3EE7">
          <w:rPr>
            <w:noProof/>
            <w:webHidden/>
          </w:rPr>
          <w:tab/>
        </w:r>
        <w:r w:rsidR="00BA3EE7">
          <w:rPr>
            <w:noProof/>
            <w:webHidden/>
          </w:rPr>
          <w:fldChar w:fldCharType="begin"/>
        </w:r>
        <w:r w:rsidR="00BA3EE7">
          <w:rPr>
            <w:noProof/>
            <w:webHidden/>
          </w:rPr>
          <w:instrText xml:space="preserve"> PAGEREF _Toc521488611 \h </w:instrText>
        </w:r>
        <w:r w:rsidR="00BA3EE7">
          <w:rPr>
            <w:noProof/>
            <w:webHidden/>
          </w:rPr>
        </w:r>
        <w:r w:rsidR="00BA3EE7">
          <w:rPr>
            <w:noProof/>
            <w:webHidden/>
          </w:rPr>
          <w:fldChar w:fldCharType="separate"/>
        </w:r>
        <w:r w:rsidR="00BA3EE7">
          <w:rPr>
            <w:noProof/>
            <w:webHidden/>
          </w:rPr>
          <w:t>37</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12" w:history="1">
        <w:r w:rsidR="00BA3EE7" w:rsidRPr="00C0400A">
          <w:rPr>
            <w:rStyle w:val="Hyperlink"/>
            <w:noProof/>
          </w:rPr>
          <w:t>6.3.2</w:t>
        </w:r>
        <w:r w:rsidR="00BA3EE7">
          <w:rPr>
            <w:rFonts w:asciiTheme="minorHAnsi" w:eastAsiaTheme="minorEastAsia" w:hAnsiTheme="minorHAnsi" w:cstheme="minorBidi"/>
            <w:i w:val="0"/>
            <w:iCs w:val="0"/>
            <w:noProof/>
            <w:sz w:val="22"/>
            <w:szCs w:val="22"/>
          </w:rPr>
          <w:tab/>
        </w:r>
        <w:r w:rsidR="00BA3EE7" w:rsidRPr="00C0400A">
          <w:rPr>
            <w:rStyle w:val="Hyperlink"/>
            <w:noProof/>
          </w:rPr>
          <w:t>Women’s Health Initiative (WHI) Attribution</w:t>
        </w:r>
        <w:r w:rsidR="00BA3EE7">
          <w:rPr>
            <w:noProof/>
            <w:webHidden/>
          </w:rPr>
          <w:tab/>
        </w:r>
        <w:r w:rsidR="00BA3EE7">
          <w:rPr>
            <w:noProof/>
            <w:webHidden/>
          </w:rPr>
          <w:fldChar w:fldCharType="begin"/>
        </w:r>
        <w:r w:rsidR="00BA3EE7">
          <w:rPr>
            <w:noProof/>
            <w:webHidden/>
          </w:rPr>
          <w:instrText xml:space="preserve"> PAGEREF _Toc521488612 \h </w:instrText>
        </w:r>
        <w:r w:rsidR="00BA3EE7">
          <w:rPr>
            <w:noProof/>
            <w:webHidden/>
          </w:rPr>
        </w:r>
        <w:r w:rsidR="00BA3EE7">
          <w:rPr>
            <w:noProof/>
            <w:webHidden/>
          </w:rPr>
          <w:fldChar w:fldCharType="separate"/>
        </w:r>
        <w:r w:rsidR="00BA3EE7">
          <w:rPr>
            <w:noProof/>
            <w:webHidden/>
          </w:rPr>
          <w:t>38</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13" w:history="1">
        <w:r w:rsidR="00BA3EE7" w:rsidRPr="00C0400A">
          <w:rPr>
            <w:rStyle w:val="Hyperlink"/>
            <w:noProof/>
          </w:rPr>
          <w:t>6.3.3</w:t>
        </w:r>
        <w:r w:rsidR="00BA3EE7">
          <w:rPr>
            <w:rFonts w:asciiTheme="minorHAnsi" w:eastAsiaTheme="minorEastAsia" w:hAnsiTheme="minorHAnsi" w:cstheme="minorBidi"/>
            <w:i w:val="0"/>
            <w:iCs w:val="0"/>
            <w:noProof/>
            <w:sz w:val="22"/>
            <w:szCs w:val="22"/>
          </w:rPr>
          <w:tab/>
        </w:r>
        <w:r w:rsidR="00BA3EE7" w:rsidRPr="00C0400A">
          <w:rPr>
            <w:rStyle w:val="Hyperlink"/>
            <w:noProof/>
          </w:rPr>
          <w:t>WHI Practice PMPM Payment</w:t>
        </w:r>
        <w:r w:rsidR="00BA3EE7">
          <w:rPr>
            <w:noProof/>
            <w:webHidden/>
          </w:rPr>
          <w:tab/>
        </w:r>
        <w:r w:rsidR="00BA3EE7">
          <w:rPr>
            <w:noProof/>
            <w:webHidden/>
          </w:rPr>
          <w:fldChar w:fldCharType="begin"/>
        </w:r>
        <w:r w:rsidR="00BA3EE7">
          <w:rPr>
            <w:noProof/>
            <w:webHidden/>
          </w:rPr>
          <w:instrText xml:space="preserve"> PAGEREF _Toc521488613 \h </w:instrText>
        </w:r>
        <w:r w:rsidR="00BA3EE7">
          <w:rPr>
            <w:noProof/>
            <w:webHidden/>
          </w:rPr>
        </w:r>
        <w:r w:rsidR="00BA3EE7">
          <w:rPr>
            <w:noProof/>
            <w:webHidden/>
          </w:rPr>
          <w:fldChar w:fldCharType="separate"/>
        </w:r>
        <w:r w:rsidR="00BA3EE7">
          <w:rPr>
            <w:noProof/>
            <w:webHidden/>
          </w:rPr>
          <w:t>39</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14" w:history="1">
        <w:r w:rsidR="00BA3EE7" w:rsidRPr="00C0400A">
          <w:rPr>
            <w:rStyle w:val="Hyperlink"/>
            <w:noProof/>
          </w:rPr>
          <w:t>6.3.4</w:t>
        </w:r>
        <w:r w:rsidR="00BA3EE7">
          <w:rPr>
            <w:rFonts w:asciiTheme="minorHAnsi" w:eastAsiaTheme="minorEastAsia" w:hAnsiTheme="minorHAnsi" w:cstheme="minorBidi"/>
            <w:i w:val="0"/>
            <w:iCs w:val="0"/>
            <w:noProof/>
            <w:sz w:val="22"/>
            <w:szCs w:val="22"/>
          </w:rPr>
          <w:tab/>
        </w:r>
        <w:r w:rsidR="00BA3EE7" w:rsidRPr="00C0400A">
          <w:rPr>
            <w:rStyle w:val="Hyperlink"/>
            <w:noProof/>
          </w:rPr>
          <w:t>Supplemental Community Health Team (CHT) Payments</w:t>
        </w:r>
        <w:r w:rsidR="00BA3EE7">
          <w:rPr>
            <w:noProof/>
            <w:webHidden/>
          </w:rPr>
          <w:tab/>
        </w:r>
        <w:r w:rsidR="00BA3EE7">
          <w:rPr>
            <w:noProof/>
            <w:webHidden/>
          </w:rPr>
          <w:fldChar w:fldCharType="begin"/>
        </w:r>
        <w:r w:rsidR="00BA3EE7">
          <w:rPr>
            <w:noProof/>
            <w:webHidden/>
          </w:rPr>
          <w:instrText xml:space="preserve"> PAGEREF _Toc521488614 \h </w:instrText>
        </w:r>
        <w:r w:rsidR="00BA3EE7">
          <w:rPr>
            <w:noProof/>
            <w:webHidden/>
          </w:rPr>
        </w:r>
        <w:r w:rsidR="00BA3EE7">
          <w:rPr>
            <w:noProof/>
            <w:webHidden/>
          </w:rPr>
          <w:fldChar w:fldCharType="separate"/>
        </w:r>
        <w:r w:rsidR="00BA3EE7">
          <w:rPr>
            <w:noProof/>
            <w:webHidden/>
          </w:rPr>
          <w:t>41</w:t>
        </w:r>
        <w:r w:rsidR="00BA3EE7">
          <w:rPr>
            <w:noProof/>
            <w:webHidden/>
          </w:rPr>
          <w:fldChar w:fldCharType="end"/>
        </w:r>
      </w:hyperlink>
    </w:p>
    <w:p w:rsidR="00BA3EE7" w:rsidRDefault="00AE3066">
      <w:pPr>
        <w:pStyle w:val="TOC3"/>
        <w:rPr>
          <w:rFonts w:asciiTheme="minorHAnsi" w:eastAsiaTheme="minorEastAsia" w:hAnsiTheme="minorHAnsi" w:cstheme="minorBidi"/>
          <w:i w:val="0"/>
          <w:iCs w:val="0"/>
          <w:noProof/>
          <w:sz w:val="22"/>
          <w:szCs w:val="22"/>
        </w:rPr>
      </w:pPr>
      <w:hyperlink w:anchor="_Toc521488615" w:history="1">
        <w:r w:rsidR="00BA3EE7" w:rsidRPr="00C0400A">
          <w:rPr>
            <w:rStyle w:val="Hyperlink"/>
            <w:noProof/>
          </w:rPr>
          <w:t>6.3.5</w:t>
        </w:r>
        <w:r w:rsidR="00BA3EE7">
          <w:rPr>
            <w:rFonts w:asciiTheme="minorHAnsi" w:eastAsiaTheme="minorEastAsia" w:hAnsiTheme="minorHAnsi" w:cstheme="minorBidi"/>
            <w:i w:val="0"/>
            <w:iCs w:val="0"/>
            <w:noProof/>
            <w:sz w:val="22"/>
            <w:szCs w:val="22"/>
          </w:rPr>
          <w:tab/>
        </w:r>
        <w:r w:rsidR="00BA3EE7" w:rsidRPr="00C0400A">
          <w:rPr>
            <w:rStyle w:val="Hyperlink"/>
            <w:noProof/>
          </w:rPr>
          <w:t>One-time Capacity Payment Per-Member Payment (PMP)</w:t>
        </w:r>
        <w:r w:rsidR="00BA3EE7">
          <w:rPr>
            <w:noProof/>
            <w:webHidden/>
          </w:rPr>
          <w:tab/>
        </w:r>
        <w:r w:rsidR="00BA3EE7">
          <w:rPr>
            <w:noProof/>
            <w:webHidden/>
          </w:rPr>
          <w:fldChar w:fldCharType="begin"/>
        </w:r>
        <w:r w:rsidR="00BA3EE7">
          <w:rPr>
            <w:noProof/>
            <w:webHidden/>
          </w:rPr>
          <w:instrText xml:space="preserve"> PAGEREF _Toc521488615 \h </w:instrText>
        </w:r>
        <w:r w:rsidR="00BA3EE7">
          <w:rPr>
            <w:noProof/>
            <w:webHidden/>
          </w:rPr>
        </w:r>
        <w:r w:rsidR="00BA3EE7">
          <w:rPr>
            <w:noProof/>
            <w:webHidden/>
          </w:rPr>
          <w:fldChar w:fldCharType="separate"/>
        </w:r>
        <w:r w:rsidR="00BA3EE7">
          <w:rPr>
            <w:noProof/>
            <w:webHidden/>
          </w:rPr>
          <w:t>42</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16" w:history="1">
        <w:r w:rsidR="00BA3EE7" w:rsidRPr="00C0400A">
          <w:rPr>
            <w:rStyle w:val="Hyperlink"/>
            <w:noProof/>
          </w:rPr>
          <w:t>6.4.</w:t>
        </w:r>
        <w:r w:rsidR="00BA3EE7">
          <w:rPr>
            <w:rFonts w:asciiTheme="minorHAnsi" w:eastAsiaTheme="minorEastAsia" w:hAnsiTheme="minorHAnsi" w:cstheme="minorBidi"/>
            <w:smallCaps w:val="0"/>
            <w:noProof/>
            <w:sz w:val="22"/>
            <w:szCs w:val="22"/>
          </w:rPr>
          <w:tab/>
        </w:r>
        <w:r w:rsidR="00BA3EE7" w:rsidRPr="00C0400A">
          <w:rPr>
            <w:rStyle w:val="Hyperlink"/>
            <w:noProof/>
          </w:rPr>
          <w:t>Procedure for sustaining WHI payments if practice lapses in implementing the WHI strategies</w:t>
        </w:r>
        <w:r w:rsidR="00BA3EE7">
          <w:rPr>
            <w:noProof/>
            <w:webHidden/>
          </w:rPr>
          <w:tab/>
        </w:r>
        <w:r w:rsidR="00BA3EE7">
          <w:rPr>
            <w:noProof/>
            <w:webHidden/>
          </w:rPr>
          <w:fldChar w:fldCharType="begin"/>
        </w:r>
        <w:r w:rsidR="00BA3EE7">
          <w:rPr>
            <w:noProof/>
            <w:webHidden/>
          </w:rPr>
          <w:instrText xml:space="preserve"> PAGEREF _Toc521488616 \h </w:instrText>
        </w:r>
        <w:r w:rsidR="00BA3EE7">
          <w:rPr>
            <w:noProof/>
            <w:webHidden/>
          </w:rPr>
        </w:r>
        <w:r w:rsidR="00BA3EE7">
          <w:rPr>
            <w:noProof/>
            <w:webHidden/>
          </w:rPr>
          <w:fldChar w:fldCharType="separate"/>
        </w:r>
        <w:r w:rsidR="00BA3EE7">
          <w:rPr>
            <w:noProof/>
            <w:webHidden/>
          </w:rPr>
          <w:t>43</w:t>
        </w:r>
        <w:r w:rsidR="00BA3EE7">
          <w:rPr>
            <w:noProof/>
            <w:webHidden/>
          </w:rPr>
          <w:fldChar w:fldCharType="end"/>
        </w:r>
      </w:hyperlink>
    </w:p>
    <w:p w:rsidR="00BA3EE7" w:rsidRDefault="00AE3066">
      <w:pPr>
        <w:pStyle w:val="TOC2"/>
        <w:tabs>
          <w:tab w:val="left" w:pos="960"/>
          <w:tab w:val="right" w:leader="dot" w:pos="9350"/>
        </w:tabs>
        <w:rPr>
          <w:rFonts w:asciiTheme="minorHAnsi" w:eastAsiaTheme="minorEastAsia" w:hAnsiTheme="minorHAnsi" w:cstheme="minorBidi"/>
          <w:smallCaps w:val="0"/>
          <w:noProof/>
          <w:sz w:val="22"/>
          <w:szCs w:val="22"/>
        </w:rPr>
      </w:pPr>
      <w:hyperlink w:anchor="_Toc521488617" w:history="1">
        <w:r w:rsidR="00BA3EE7" w:rsidRPr="00C0400A">
          <w:rPr>
            <w:rStyle w:val="Hyperlink"/>
            <w:noProof/>
          </w:rPr>
          <w:t>6.5.</w:t>
        </w:r>
        <w:r w:rsidR="00BA3EE7">
          <w:rPr>
            <w:rFonts w:asciiTheme="minorHAnsi" w:eastAsiaTheme="minorEastAsia" w:hAnsiTheme="minorHAnsi" w:cstheme="minorBidi"/>
            <w:smallCaps w:val="0"/>
            <w:noProof/>
            <w:sz w:val="22"/>
            <w:szCs w:val="22"/>
          </w:rPr>
          <w:tab/>
        </w:r>
        <w:r w:rsidR="00BA3EE7" w:rsidRPr="00C0400A">
          <w:rPr>
            <w:rStyle w:val="Hyperlink"/>
            <w:noProof/>
          </w:rPr>
          <w:t>Participation in the WHI for Patient Centered Medical Homes</w:t>
        </w:r>
        <w:r w:rsidR="00BA3EE7">
          <w:rPr>
            <w:noProof/>
            <w:webHidden/>
          </w:rPr>
          <w:tab/>
        </w:r>
        <w:r w:rsidR="00BA3EE7">
          <w:rPr>
            <w:noProof/>
            <w:webHidden/>
          </w:rPr>
          <w:fldChar w:fldCharType="begin"/>
        </w:r>
        <w:r w:rsidR="00BA3EE7">
          <w:rPr>
            <w:noProof/>
            <w:webHidden/>
          </w:rPr>
          <w:instrText xml:space="preserve"> PAGEREF _Toc521488617 \h </w:instrText>
        </w:r>
        <w:r w:rsidR="00BA3EE7">
          <w:rPr>
            <w:noProof/>
            <w:webHidden/>
          </w:rPr>
        </w:r>
        <w:r w:rsidR="00BA3EE7">
          <w:rPr>
            <w:noProof/>
            <w:webHidden/>
          </w:rPr>
          <w:fldChar w:fldCharType="separate"/>
        </w:r>
        <w:r w:rsidR="00BA3EE7">
          <w:rPr>
            <w:noProof/>
            <w:webHidden/>
          </w:rPr>
          <w:t>44</w:t>
        </w:r>
        <w:r w:rsidR="00BA3EE7">
          <w:rPr>
            <w:noProof/>
            <w:webHidden/>
          </w:rPr>
          <w:fldChar w:fldCharType="end"/>
        </w:r>
      </w:hyperlink>
    </w:p>
    <w:p w:rsidR="00BA3EE7" w:rsidRDefault="00AE3066">
      <w:pPr>
        <w:pStyle w:val="TOC2"/>
        <w:tabs>
          <w:tab w:val="right" w:leader="dot" w:pos="9350"/>
        </w:tabs>
        <w:rPr>
          <w:rFonts w:asciiTheme="minorHAnsi" w:eastAsiaTheme="minorEastAsia" w:hAnsiTheme="minorHAnsi" w:cstheme="minorBidi"/>
          <w:smallCaps w:val="0"/>
          <w:noProof/>
          <w:sz w:val="22"/>
          <w:szCs w:val="22"/>
        </w:rPr>
      </w:pPr>
      <w:hyperlink w:anchor="_Toc521488618" w:history="1">
        <w:r w:rsidR="00BA3EE7" w:rsidRPr="00C0400A">
          <w:rPr>
            <w:rStyle w:val="Hyperlink"/>
            <w:b/>
            <w:noProof/>
          </w:rPr>
          <w:t>APPENDIX 1</w:t>
        </w:r>
        <w:r w:rsidR="00BA3EE7">
          <w:rPr>
            <w:noProof/>
            <w:webHidden/>
          </w:rPr>
          <w:tab/>
        </w:r>
        <w:r w:rsidR="00BA3EE7">
          <w:rPr>
            <w:noProof/>
            <w:webHidden/>
          </w:rPr>
          <w:fldChar w:fldCharType="begin"/>
        </w:r>
        <w:r w:rsidR="00BA3EE7">
          <w:rPr>
            <w:noProof/>
            <w:webHidden/>
          </w:rPr>
          <w:instrText xml:space="preserve"> PAGEREF _Toc521488618 \h </w:instrText>
        </w:r>
        <w:r w:rsidR="00BA3EE7">
          <w:rPr>
            <w:noProof/>
            <w:webHidden/>
          </w:rPr>
        </w:r>
        <w:r w:rsidR="00BA3EE7">
          <w:rPr>
            <w:noProof/>
            <w:webHidden/>
          </w:rPr>
          <w:fldChar w:fldCharType="separate"/>
        </w:r>
        <w:r w:rsidR="00BA3EE7">
          <w:rPr>
            <w:noProof/>
            <w:webHidden/>
          </w:rPr>
          <w:t>47</w:t>
        </w:r>
        <w:r w:rsidR="00BA3EE7">
          <w:rPr>
            <w:noProof/>
            <w:webHidden/>
          </w:rPr>
          <w:fldChar w:fldCharType="end"/>
        </w:r>
      </w:hyperlink>
    </w:p>
    <w:p w:rsidR="00BA3EE7" w:rsidRDefault="00AE3066">
      <w:pPr>
        <w:pStyle w:val="TOC2"/>
        <w:tabs>
          <w:tab w:val="right" w:leader="dot" w:pos="9350"/>
        </w:tabs>
        <w:rPr>
          <w:rFonts w:asciiTheme="minorHAnsi" w:eastAsiaTheme="minorEastAsia" w:hAnsiTheme="minorHAnsi" w:cstheme="minorBidi"/>
          <w:smallCaps w:val="0"/>
          <w:noProof/>
          <w:sz w:val="22"/>
          <w:szCs w:val="22"/>
        </w:rPr>
      </w:pPr>
      <w:hyperlink w:anchor="_Toc521488619" w:history="1">
        <w:r w:rsidR="00BA3EE7" w:rsidRPr="00C0400A">
          <w:rPr>
            <w:rStyle w:val="Hyperlink"/>
            <w:b/>
            <w:noProof/>
          </w:rPr>
          <w:t>APPENDIX 2</w:t>
        </w:r>
        <w:r w:rsidR="00BA3EE7">
          <w:rPr>
            <w:noProof/>
            <w:webHidden/>
          </w:rPr>
          <w:tab/>
        </w:r>
        <w:r w:rsidR="00BA3EE7">
          <w:rPr>
            <w:noProof/>
            <w:webHidden/>
          </w:rPr>
          <w:fldChar w:fldCharType="begin"/>
        </w:r>
        <w:r w:rsidR="00BA3EE7">
          <w:rPr>
            <w:noProof/>
            <w:webHidden/>
          </w:rPr>
          <w:instrText xml:space="preserve"> PAGEREF _Toc521488619 \h </w:instrText>
        </w:r>
        <w:r w:rsidR="00BA3EE7">
          <w:rPr>
            <w:noProof/>
            <w:webHidden/>
          </w:rPr>
        </w:r>
        <w:r w:rsidR="00BA3EE7">
          <w:rPr>
            <w:noProof/>
            <w:webHidden/>
          </w:rPr>
          <w:fldChar w:fldCharType="separate"/>
        </w:r>
        <w:r w:rsidR="00BA3EE7">
          <w:rPr>
            <w:noProof/>
            <w:webHidden/>
          </w:rPr>
          <w:t>55</w:t>
        </w:r>
        <w:r w:rsidR="00BA3EE7">
          <w:rPr>
            <w:noProof/>
            <w:webHidden/>
          </w:rPr>
          <w:fldChar w:fldCharType="end"/>
        </w:r>
      </w:hyperlink>
    </w:p>
    <w:p w:rsidR="00BA3EE7" w:rsidRDefault="00AE3066">
      <w:pPr>
        <w:pStyle w:val="TOC2"/>
        <w:tabs>
          <w:tab w:val="right" w:leader="dot" w:pos="9350"/>
        </w:tabs>
        <w:rPr>
          <w:rFonts w:asciiTheme="minorHAnsi" w:eastAsiaTheme="minorEastAsia" w:hAnsiTheme="minorHAnsi" w:cstheme="minorBidi"/>
          <w:smallCaps w:val="0"/>
          <w:noProof/>
          <w:sz w:val="22"/>
          <w:szCs w:val="22"/>
        </w:rPr>
      </w:pPr>
      <w:hyperlink w:anchor="_Toc521488620" w:history="1">
        <w:r w:rsidR="00BA3EE7" w:rsidRPr="00C0400A">
          <w:rPr>
            <w:rStyle w:val="Hyperlink"/>
            <w:b/>
            <w:noProof/>
          </w:rPr>
          <w:t>APPENDIX 3</w:t>
        </w:r>
        <w:r w:rsidR="00BA3EE7">
          <w:rPr>
            <w:noProof/>
            <w:webHidden/>
          </w:rPr>
          <w:tab/>
        </w:r>
        <w:r w:rsidR="00BA3EE7">
          <w:rPr>
            <w:noProof/>
            <w:webHidden/>
          </w:rPr>
          <w:fldChar w:fldCharType="begin"/>
        </w:r>
        <w:r w:rsidR="00BA3EE7">
          <w:rPr>
            <w:noProof/>
            <w:webHidden/>
          </w:rPr>
          <w:instrText xml:space="preserve"> PAGEREF _Toc521488620 \h </w:instrText>
        </w:r>
        <w:r w:rsidR="00BA3EE7">
          <w:rPr>
            <w:noProof/>
            <w:webHidden/>
          </w:rPr>
        </w:r>
        <w:r w:rsidR="00BA3EE7">
          <w:rPr>
            <w:noProof/>
            <w:webHidden/>
          </w:rPr>
          <w:fldChar w:fldCharType="separate"/>
        </w:r>
        <w:r w:rsidR="00BA3EE7">
          <w:rPr>
            <w:noProof/>
            <w:webHidden/>
          </w:rPr>
          <w:t>57</w:t>
        </w:r>
        <w:r w:rsidR="00BA3EE7">
          <w:rPr>
            <w:noProof/>
            <w:webHidden/>
          </w:rPr>
          <w:fldChar w:fldCharType="end"/>
        </w:r>
      </w:hyperlink>
    </w:p>
    <w:p w:rsidR="00BA3EE7" w:rsidRDefault="00AE3066">
      <w:pPr>
        <w:pStyle w:val="TOC2"/>
        <w:tabs>
          <w:tab w:val="right" w:leader="dot" w:pos="9350"/>
        </w:tabs>
        <w:rPr>
          <w:rFonts w:asciiTheme="minorHAnsi" w:eastAsiaTheme="minorEastAsia" w:hAnsiTheme="minorHAnsi" w:cstheme="minorBidi"/>
          <w:smallCaps w:val="0"/>
          <w:noProof/>
          <w:sz w:val="22"/>
          <w:szCs w:val="22"/>
        </w:rPr>
      </w:pPr>
      <w:hyperlink w:anchor="_Toc521488621" w:history="1">
        <w:r w:rsidR="00BA3EE7" w:rsidRPr="00C0400A">
          <w:rPr>
            <w:rStyle w:val="Hyperlink"/>
            <w:b/>
            <w:noProof/>
          </w:rPr>
          <w:t>APPENDIX 4</w:t>
        </w:r>
        <w:r w:rsidR="00BA3EE7">
          <w:rPr>
            <w:noProof/>
            <w:webHidden/>
          </w:rPr>
          <w:tab/>
        </w:r>
        <w:r w:rsidR="00BA3EE7">
          <w:rPr>
            <w:noProof/>
            <w:webHidden/>
          </w:rPr>
          <w:fldChar w:fldCharType="begin"/>
        </w:r>
        <w:r w:rsidR="00BA3EE7">
          <w:rPr>
            <w:noProof/>
            <w:webHidden/>
          </w:rPr>
          <w:instrText xml:space="preserve"> PAGEREF _Toc521488621 \h </w:instrText>
        </w:r>
        <w:r w:rsidR="00BA3EE7">
          <w:rPr>
            <w:noProof/>
            <w:webHidden/>
          </w:rPr>
        </w:r>
        <w:r w:rsidR="00BA3EE7">
          <w:rPr>
            <w:noProof/>
            <w:webHidden/>
          </w:rPr>
          <w:fldChar w:fldCharType="separate"/>
        </w:r>
        <w:r w:rsidR="00BA3EE7">
          <w:rPr>
            <w:noProof/>
            <w:webHidden/>
          </w:rPr>
          <w:t>60</w:t>
        </w:r>
        <w:r w:rsidR="00BA3EE7">
          <w:rPr>
            <w:noProof/>
            <w:webHidden/>
          </w:rPr>
          <w:fldChar w:fldCharType="end"/>
        </w:r>
      </w:hyperlink>
    </w:p>
    <w:p w:rsidR="00BA3EE7" w:rsidRDefault="00AE3066">
      <w:pPr>
        <w:pStyle w:val="TOC2"/>
        <w:tabs>
          <w:tab w:val="right" w:leader="dot" w:pos="9350"/>
        </w:tabs>
        <w:rPr>
          <w:rFonts w:asciiTheme="minorHAnsi" w:eastAsiaTheme="minorEastAsia" w:hAnsiTheme="minorHAnsi" w:cstheme="minorBidi"/>
          <w:smallCaps w:val="0"/>
          <w:noProof/>
          <w:sz w:val="22"/>
          <w:szCs w:val="22"/>
        </w:rPr>
      </w:pPr>
      <w:hyperlink w:anchor="_Toc521488622" w:history="1">
        <w:r w:rsidR="00BA3EE7" w:rsidRPr="00C0400A">
          <w:rPr>
            <w:rStyle w:val="Hyperlink"/>
            <w:b/>
            <w:noProof/>
          </w:rPr>
          <w:t>APPENDIX 5</w:t>
        </w:r>
        <w:r w:rsidR="00BA3EE7">
          <w:rPr>
            <w:noProof/>
            <w:webHidden/>
          </w:rPr>
          <w:tab/>
        </w:r>
        <w:r w:rsidR="00BA3EE7">
          <w:rPr>
            <w:noProof/>
            <w:webHidden/>
          </w:rPr>
          <w:fldChar w:fldCharType="begin"/>
        </w:r>
        <w:r w:rsidR="00BA3EE7">
          <w:rPr>
            <w:noProof/>
            <w:webHidden/>
          </w:rPr>
          <w:instrText xml:space="preserve"> PAGEREF _Toc521488622 \h </w:instrText>
        </w:r>
        <w:r w:rsidR="00BA3EE7">
          <w:rPr>
            <w:noProof/>
            <w:webHidden/>
          </w:rPr>
        </w:r>
        <w:r w:rsidR="00BA3EE7">
          <w:rPr>
            <w:noProof/>
            <w:webHidden/>
          </w:rPr>
          <w:fldChar w:fldCharType="separate"/>
        </w:r>
        <w:r w:rsidR="00BA3EE7">
          <w:rPr>
            <w:noProof/>
            <w:webHidden/>
          </w:rPr>
          <w:t>62</w:t>
        </w:r>
        <w:r w:rsidR="00BA3EE7">
          <w:rPr>
            <w:noProof/>
            <w:webHidden/>
          </w:rPr>
          <w:fldChar w:fldCharType="end"/>
        </w:r>
      </w:hyperlink>
    </w:p>
    <w:p w:rsidR="00BA3EE7" w:rsidRDefault="00AE3066">
      <w:pPr>
        <w:pStyle w:val="TOC2"/>
        <w:tabs>
          <w:tab w:val="right" w:leader="dot" w:pos="9350"/>
        </w:tabs>
        <w:rPr>
          <w:rFonts w:asciiTheme="minorHAnsi" w:eastAsiaTheme="minorEastAsia" w:hAnsiTheme="minorHAnsi" w:cstheme="minorBidi"/>
          <w:smallCaps w:val="0"/>
          <w:noProof/>
          <w:sz w:val="22"/>
          <w:szCs w:val="22"/>
        </w:rPr>
      </w:pPr>
      <w:hyperlink w:anchor="_Toc521488623" w:history="1">
        <w:r w:rsidR="00BA3EE7" w:rsidRPr="00C0400A">
          <w:rPr>
            <w:rStyle w:val="Hyperlink"/>
            <w:rFonts w:asciiTheme="majorHAnsi" w:hAnsiTheme="majorHAnsi"/>
            <w:b/>
            <w:noProof/>
          </w:rPr>
          <w:t>APPENDIX 7</w:t>
        </w:r>
        <w:r w:rsidR="00BA3EE7">
          <w:rPr>
            <w:noProof/>
            <w:webHidden/>
          </w:rPr>
          <w:tab/>
        </w:r>
        <w:r w:rsidR="00BA3EE7">
          <w:rPr>
            <w:noProof/>
            <w:webHidden/>
          </w:rPr>
          <w:fldChar w:fldCharType="begin"/>
        </w:r>
        <w:r w:rsidR="00BA3EE7">
          <w:rPr>
            <w:noProof/>
            <w:webHidden/>
          </w:rPr>
          <w:instrText xml:space="preserve"> PAGEREF _Toc521488623 \h </w:instrText>
        </w:r>
        <w:r w:rsidR="00BA3EE7">
          <w:rPr>
            <w:noProof/>
            <w:webHidden/>
          </w:rPr>
        </w:r>
        <w:r w:rsidR="00BA3EE7">
          <w:rPr>
            <w:noProof/>
            <w:webHidden/>
          </w:rPr>
          <w:fldChar w:fldCharType="separate"/>
        </w:r>
        <w:r w:rsidR="00BA3EE7">
          <w:rPr>
            <w:noProof/>
            <w:webHidden/>
          </w:rPr>
          <w:t>64</w:t>
        </w:r>
        <w:r w:rsidR="00BA3EE7">
          <w:rPr>
            <w:noProof/>
            <w:webHidden/>
          </w:rPr>
          <w:fldChar w:fldCharType="end"/>
        </w:r>
      </w:hyperlink>
    </w:p>
    <w:p w:rsidR="0019320E" w:rsidRPr="007678FC" w:rsidRDefault="00B061B7" w:rsidP="005604A6">
      <w:pPr>
        <w:sectPr w:rsidR="0019320E" w:rsidRPr="007678FC" w:rsidSect="00827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7678FC">
        <w:rPr>
          <w:rFonts w:ascii="Times New Roman" w:hAnsi="Times New Roman"/>
          <w:b/>
          <w:bCs/>
          <w:noProof/>
          <w:sz w:val="20"/>
          <w:szCs w:val="20"/>
        </w:rPr>
        <w:fldChar w:fldCharType="end"/>
      </w:r>
    </w:p>
    <w:p w:rsidR="0019320E" w:rsidRPr="007678FC" w:rsidRDefault="0019320E" w:rsidP="006E05C6">
      <w:pPr>
        <w:pStyle w:val="Heading1"/>
        <w:numPr>
          <w:ilvl w:val="0"/>
          <w:numId w:val="13"/>
        </w:numPr>
      </w:pPr>
      <w:bookmarkStart w:id="1" w:name="_Toc419884042"/>
      <w:bookmarkStart w:id="2" w:name="_Toc419884322"/>
      <w:bookmarkStart w:id="3" w:name="_Toc440036708"/>
      <w:bookmarkStart w:id="4" w:name="_Toc521488556"/>
      <w:r w:rsidRPr="007678FC">
        <w:lastRenderedPageBreak/>
        <w:t>Introduction to Blueprint for Health Manual</w:t>
      </w:r>
      <w:bookmarkEnd w:id="1"/>
      <w:bookmarkEnd w:id="2"/>
      <w:bookmarkEnd w:id="3"/>
      <w:bookmarkEnd w:id="4"/>
    </w:p>
    <w:p w:rsidR="0019320E" w:rsidRPr="007678FC" w:rsidRDefault="0019320E" w:rsidP="000815EB">
      <w:pPr>
        <w:pStyle w:val="Heading2"/>
      </w:pPr>
      <w:r w:rsidRPr="007678FC">
        <w:t xml:space="preserve">  </w:t>
      </w:r>
      <w:bookmarkStart w:id="5" w:name="_Toc419884043"/>
      <w:bookmarkStart w:id="6" w:name="_Toc419884323"/>
      <w:bookmarkStart w:id="7" w:name="_Toc440036709"/>
      <w:bookmarkStart w:id="8" w:name="_Toc521488557"/>
      <w:r w:rsidRPr="007678FC">
        <w:t>Intent</w:t>
      </w:r>
      <w:bookmarkEnd w:id="5"/>
      <w:bookmarkEnd w:id="6"/>
      <w:bookmarkEnd w:id="7"/>
      <w:bookmarkEnd w:id="8"/>
    </w:p>
    <w:p w:rsidR="0019320E" w:rsidRPr="007678FC" w:rsidRDefault="005C3809" w:rsidP="0019320E">
      <w:pPr>
        <w:spacing w:before="39" w:after="39"/>
        <w:rPr>
          <w:rFonts w:eastAsia="Times New Roman" w:cs="Arial"/>
        </w:rPr>
      </w:pPr>
      <w:r w:rsidRPr="007678FC">
        <w:rPr>
          <w:rFonts w:cs="Arial"/>
        </w:rPr>
        <w:t>The Blueprint is a state-</w:t>
      </w:r>
      <w:r w:rsidR="0019320E" w:rsidRPr="007678FC">
        <w:rPr>
          <w:rFonts w:cs="Arial"/>
        </w:rPr>
        <w:t>led program dedicated to achieving</w:t>
      </w:r>
      <w:r w:rsidR="00074480" w:rsidRPr="007678FC">
        <w:rPr>
          <w:rFonts w:cs="Arial"/>
        </w:rPr>
        <w:t xml:space="preserve"> well-</w:t>
      </w:r>
      <w:r w:rsidR="0019320E" w:rsidRPr="007678FC">
        <w:rPr>
          <w:rFonts w:cs="Arial"/>
        </w:rPr>
        <w:t>coordinated and seamless health services, with an emphasis on prevention and wellness, for all Vermonters.  Acting as an agent of change, the Blueprint is working with a broad range of stakeholders to implement a novel health services model that is designed to; I</w:t>
      </w:r>
      <w:r w:rsidR="0019320E" w:rsidRPr="007678FC">
        <w:rPr>
          <w:rFonts w:eastAsia="Times New Roman" w:cs="Arial"/>
        </w:rPr>
        <w:t>mprove the health of the population; Enhance the patient experience of care (including quality, access, and reliability); and to Reduce, or at least control, the per capita cost of care.  A growing national consensus suggests that this Triple Aim, as promoted by the Institute for Healthcare Improvement (IHI), can be achieved through health services that are safe, effective, efficient, patient centered, timely, and equitable (</w:t>
      </w:r>
      <w:r w:rsidR="0019320E" w:rsidRPr="007678FC">
        <w:rPr>
          <w:rFonts w:eastAsia="Times New Roman" w:cs="Arial"/>
          <w:i/>
        </w:rPr>
        <w:t>Crossing the Quality Chasm: A New Health System for the 21</w:t>
      </w:r>
      <w:r w:rsidR="0019320E" w:rsidRPr="007678FC">
        <w:rPr>
          <w:rFonts w:eastAsia="Times New Roman" w:cs="Arial"/>
          <w:i/>
          <w:vertAlign w:val="superscript"/>
        </w:rPr>
        <w:t>st</w:t>
      </w:r>
      <w:r w:rsidR="0019320E" w:rsidRPr="007678FC">
        <w:rPr>
          <w:rFonts w:eastAsia="Times New Roman" w:cs="Arial"/>
          <w:i/>
        </w:rPr>
        <w:t xml:space="preserve"> Century.</w:t>
      </w:r>
      <w:r w:rsidR="0019320E" w:rsidRPr="007678FC">
        <w:rPr>
          <w:rFonts w:eastAsia="Times New Roman" w:cs="Arial"/>
        </w:rPr>
        <w:t xml:space="preserve">  Washington DC: National Academy Press, Institute of Medicine; 2001).     </w:t>
      </w:r>
    </w:p>
    <w:p w:rsidR="0019320E" w:rsidRDefault="0019320E" w:rsidP="009946C6">
      <w:pPr>
        <w:spacing w:before="240" w:after="240"/>
        <w:rPr>
          <w:rFonts w:cs="Arial"/>
        </w:rPr>
      </w:pPr>
      <w:r w:rsidRPr="007678FC">
        <w:rPr>
          <w:rFonts w:cs="Arial"/>
        </w:rPr>
        <w:t>The foundation of the Blueprint model is Advanced Primary Care that meets patients and families</w:t>
      </w:r>
      <w:r w:rsidR="009A2902">
        <w:rPr>
          <w:rFonts w:cs="Arial"/>
        </w:rPr>
        <w:t>'</w:t>
      </w:r>
      <w:r w:rsidRPr="007678FC">
        <w:rPr>
          <w:rFonts w:cs="Arial"/>
        </w:rPr>
        <w:t xml:space="preserve"> needs by coordinating seamlessly with a broad range of health and human services.  This Manual is a guide for primary care practices, health centers, hospitals, and providers of health services (medical and non-medical), to implement the Blueprint’s Multi-payer Advanced Primary Care Practice (MAPCP) model in their community, and to become part of a statewide Learning Health System.  The Blueprint model includes the following components: multi-insurer payment reforms that support advanced primary care practices and community health teams; a statewide health information architecture that will support coordination across a wide range of providers of health and human services; and an evaluation and quality improvement infrastructure to support a Learning Health System which continuously refines and improves itself. </w:t>
      </w:r>
    </w:p>
    <w:p w:rsidR="0017456F" w:rsidRDefault="0017456F" w:rsidP="0017456F">
      <w:pPr>
        <w:rPr>
          <w:sz w:val="22"/>
          <w:szCs w:val="22"/>
        </w:rPr>
      </w:pPr>
      <w:r>
        <w:t xml:space="preserve">For Blueprint policy sources, please see Title 18 V.S.A. Chapter 13, Sections 702-709 (available at </w:t>
      </w:r>
      <w:hyperlink r:id="rId15" w:history="1">
        <w:r>
          <w:rPr>
            <w:rStyle w:val="Hyperlink"/>
            <w:rFonts w:ascii="Times New Roman" w:hAnsi="Times New Roman"/>
            <w:sz w:val="23"/>
            <w:szCs w:val="23"/>
          </w:rPr>
          <w:t>http://legislature.vermont.gov/statutes/</w:t>
        </w:r>
      </w:hyperlink>
      <w:r>
        <w:t xml:space="preserve">), DVHA Rules 8100-8105.2 (available at </w:t>
      </w:r>
      <w:hyperlink r:id="rId16" w:history="1">
        <w:r>
          <w:rPr>
            <w:rStyle w:val="Hyperlink"/>
            <w:rFonts w:ascii="Times New Roman" w:hAnsi="Times New Roman"/>
            <w:sz w:val="23"/>
            <w:szCs w:val="23"/>
          </w:rPr>
          <w:t>http://dvha.vermont.gov/budget-legislative</w:t>
        </w:r>
      </w:hyperlink>
      <w:r>
        <w:t xml:space="preserve">), and this Blueprint Manual (available at </w:t>
      </w:r>
      <w:hyperlink r:id="rId17" w:history="1">
        <w:r>
          <w:rPr>
            <w:rStyle w:val="Hyperlink"/>
          </w:rPr>
          <w:t>http://blueprintforhealth.vermont.gov/implementation-materials</w:t>
        </w:r>
      </w:hyperlink>
      <w:r>
        <w:t>).</w:t>
      </w:r>
    </w:p>
    <w:p w:rsidR="009946C6" w:rsidRPr="007678FC" w:rsidRDefault="009946C6" w:rsidP="009946C6">
      <w:pPr>
        <w:spacing w:before="240" w:after="240"/>
        <w:rPr>
          <w:rFonts w:cs="Arial"/>
        </w:rPr>
      </w:pPr>
    </w:p>
    <w:p w:rsidR="0019320E" w:rsidRPr="007678FC" w:rsidRDefault="0019320E" w:rsidP="000815EB">
      <w:pPr>
        <w:pStyle w:val="Heading2"/>
      </w:pPr>
      <w:r w:rsidRPr="007678FC">
        <w:t xml:space="preserve">  </w:t>
      </w:r>
      <w:bookmarkStart w:id="9" w:name="_Toc419884044"/>
      <w:bookmarkStart w:id="10" w:name="_Toc419884324"/>
      <w:bookmarkStart w:id="11" w:name="_Toc440036710"/>
      <w:bookmarkStart w:id="12" w:name="_Toc521488558"/>
      <w:r w:rsidRPr="007678FC">
        <w:t>Process for Updating Blueprint for Health Manual</w:t>
      </w:r>
      <w:bookmarkEnd w:id="9"/>
      <w:bookmarkEnd w:id="10"/>
      <w:bookmarkEnd w:id="11"/>
      <w:bookmarkEnd w:id="12"/>
    </w:p>
    <w:p w:rsidR="00AC1038" w:rsidRDefault="00AC1038" w:rsidP="00AC1038">
      <w:r>
        <w:t xml:space="preserve">Department of Vermont Health Access rules direct the process for amending the Blueprint for Health Manual. The Manual shall only be </w:t>
      </w:r>
      <w:r w:rsidR="001A59E0">
        <w:t>amended</w:t>
      </w:r>
      <w:r>
        <w:t xml:space="preserve"> after a thorough public process for comment, discussion, and consensus building. That public input process shall include an internet posting of draft revisions to the Manual, distribution of the draft to the Expansion Design and Evaluation Committee, the Blueprint Executive Committee, and the Payer Implementation Work Group and discussion of proposed Manual revisions in a minimum of two meetings of the Expansion Design and Evaluation Committee. Written and oral comments on proposed Manual revisions may be submitted to the Department. </w:t>
      </w:r>
    </w:p>
    <w:p w:rsidR="0019320E" w:rsidRPr="007678FC" w:rsidRDefault="0019320E" w:rsidP="0019320E">
      <w:pPr>
        <w:tabs>
          <w:tab w:val="num" w:pos="720"/>
        </w:tabs>
        <w:spacing w:before="240" w:after="240"/>
        <w:ind w:left="360"/>
        <w:rPr>
          <w:rFonts w:cs="Arial"/>
        </w:rPr>
      </w:pPr>
    </w:p>
    <w:p w:rsidR="0019320E" w:rsidRPr="007678FC" w:rsidRDefault="0019320E" w:rsidP="006E05C6">
      <w:pPr>
        <w:pStyle w:val="Heading1"/>
      </w:pPr>
      <w:bookmarkStart w:id="13" w:name="_Toc419884045"/>
      <w:bookmarkStart w:id="14" w:name="_Toc419884325"/>
      <w:bookmarkStart w:id="15" w:name="_Toc440036711"/>
      <w:bookmarkStart w:id="16" w:name="_Toc521488559"/>
      <w:r w:rsidRPr="007678FC">
        <w:lastRenderedPageBreak/>
        <w:t>Advisory Groups</w:t>
      </w:r>
      <w:bookmarkEnd w:id="13"/>
      <w:bookmarkEnd w:id="14"/>
      <w:bookmarkEnd w:id="15"/>
      <w:bookmarkEnd w:id="16"/>
    </w:p>
    <w:p w:rsidR="0019320E" w:rsidRPr="007678FC" w:rsidRDefault="0019320E" w:rsidP="000815EB">
      <w:pPr>
        <w:pStyle w:val="Heading2"/>
      </w:pPr>
      <w:r w:rsidRPr="007678FC">
        <w:t xml:space="preserve">  </w:t>
      </w:r>
      <w:bookmarkStart w:id="17" w:name="_Toc419884046"/>
      <w:bookmarkStart w:id="18" w:name="_Toc419884326"/>
      <w:bookmarkStart w:id="19" w:name="_Toc440036712"/>
      <w:bookmarkStart w:id="20" w:name="_Toc521488560"/>
      <w:r w:rsidRPr="007678FC">
        <w:t>Blueprint Executive Committee</w:t>
      </w:r>
      <w:bookmarkEnd w:id="17"/>
      <w:bookmarkEnd w:id="18"/>
      <w:bookmarkEnd w:id="19"/>
      <w:bookmarkEnd w:id="20"/>
    </w:p>
    <w:p w:rsidR="0019320E" w:rsidRPr="007678FC" w:rsidRDefault="0019320E" w:rsidP="0019320E">
      <w:pPr>
        <w:rPr>
          <w:rFonts w:cs="Arial"/>
        </w:rPr>
      </w:pPr>
      <w:r w:rsidRPr="007678FC">
        <w:rPr>
          <w:rFonts w:cs="Arial"/>
          <w:b/>
        </w:rPr>
        <w:t>Purpose:</w:t>
      </w:r>
      <w:r w:rsidRPr="007678FC">
        <w:rPr>
          <w:rFonts w:cs="Arial"/>
        </w:rPr>
        <w:t xml:space="preserve">  The Blueprint Executive Committee shall provide high-level multi-stakeholder guidance on complex issues.  The Blueprint Executive Committee shall advise the Blueprint Director on strategic planning and implementation of a statewide system of well</w:t>
      </w:r>
      <w:r w:rsidR="0061035A">
        <w:rPr>
          <w:rFonts w:cs="Arial"/>
        </w:rPr>
        <w:t>-</w:t>
      </w:r>
      <w:r w:rsidRPr="007678FC">
        <w:rPr>
          <w:rFonts w:cs="Arial"/>
        </w:rPr>
        <w:t>coordinated health services with an emphasis on prevention.  The Blueprint Executive Committee Members represent a broad range of stakeholders including professionals who provide health services, insurers, professional organizations, community and nonprofit groups, consumers, businesses, and state and local government.</w:t>
      </w:r>
    </w:p>
    <w:p w:rsidR="0019320E" w:rsidRPr="007678FC" w:rsidRDefault="0019320E" w:rsidP="0019320E">
      <w:pPr>
        <w:rPr>
          <w:rFonts w:cs="Arial"/>
        </w:rPr>
      </w:pPr>
    </w:p>
    <w:p w:rsidR="0019320E" w:rsidRPr="007678FC" w:rsidRDefault="0019320E" w:rsidP="0019320E">
      <w:pPr>
        <w:rPr>
          <w:rFonts w:cs="Arial"/>
        </w:rPr>
      </w:pPr>
      <w:r w:rsidRPr="007678FC">
        <w:rPr>
          <w:rFonts w:cs="Arial"/>
          <w:b/>
        </w:rPr>
        <w:t>Committee Make-up:</w:t>
      </w:r>
      <w:r w:rsidRPr="007678FC">
        <w:rPr>
          <w:rFonts w:cs="Arial"/>
        </w:rPr>
        <w:t xml:space="preserve">  The Blueprint Executive Committee shall consist of no fewer than 10 individuals including but not limited to:</w:t>
      </w:r>
    </w:p>
    <w:p w:rsidR="0019320E" w:rsidRPr="007678FC" w:rsidRDefault="0019320E" w:rsidP="0019320E">
      <w:pPr>
        <w:rPr>
          <w:rFonts w:cs="Arial"/>
        </w:rPr>
      </w:pPr>
    </w:p>
    <w:p w:rsidR="0019320E" w:rsidRPr="007678FC" w:rsidRDefault="0019320E" w:rsidP="00F46B28">
      <w:pPr>
        <w:numPr>
          <w:ilvl w:val="0"/>
          <w:numId w:val="2"/>
        </w:numPr>
        <w:rPr>
          <w:rFonts w:cs="Arial"/>
        </w:rPr>
      </w:pPr>
      <w:r w:rsidRPr="007678FC">
        <w:rPr>
          <w:rFonts w:cs="Arial"/>
        </w:rPr>
        <w:t>Commissioner of Health</w:t>
      </w:r>
    </w:p>
    <w:p w:rsidR="0019320E" w:rsidRPr="007678FC" w:rsidRDefault="0019320E" w:rsidP="00F46B28">
      <w:pPr>
        <w:numPr>
          <w:ilvl w:val="0"/>
          <w:numId w:val="2"/>
        </w:numPr>
        <w:rPr>
          <w:rFonts w:cs="Arial"/>
        </w:rPr>
      </w:pPr>
      <w:r w:rsidRPr="007678FC">
        <w:rPr>
          <w:rFonts w:cs="Arial"/>
        </w:rPr>
        <w:t>Commissioner of Mental Health</w:t>
      </w:r>
    </w:p>
    <w:p w:rsidR="0019320E" w:rsidRPr="007678FC" w:rsidRDefault="0019320E" w:rsidP="00F46B28">
      <w:pPr>
        <w:numPr>
          <w:ilvl w:val="0"/>
          <w:numId w:val="2"/>
        </w:numPr>
        <w:rPr>
          <w:rFonts w:cs="Arial"/>
        </w:rPr>
      </w:pPr>
      <w:r w:rsidRPr="007678FC">
        <w:rPr>
          <w:rFonts w:cs="Arial"/>
        </w:rPr>
        <w:t>Representative from the Department of Banking, Insurance, Securities, and Health Care Administration</w:t>
      </w:r>
    </w:p>
    <w:p w:rsidR="0019320E" w:rsidRPr="007678FC" w:rsidRDefault="0019320E" w:rsidP="00F46B28">
      <w:pPr>
        <w:numPr>
          <w:ilvl w:val="0"/>
          <w:numId w:val="2"/>
        </w:numPr>
        <w:rPr>
          <w:rFonts w:cs="Arial"/>
        </w:rPr>
      </w:pPr>
      <w:r w:rsidRPr="007678FC">
        <w:rPr>
          <w:rFonts w:cs="Arial"/>
        </w:rPr>
        <w:t>Representative from the Department of Vermont Health Access</w:t>
      </w:r>
    </w:p>
    <w:p w:rsidR="0019320E" w:rsidRPr="007678FC" w:rsidRDefault="0019320E" w:rsidP="00F46B28">
      <w:pPr>
        <w:numPr>
          <w:ilvl w:val="0"/>
          <w:numId w:val="2"/>
        </w:numPr>
        <w:rPr>
          <w:rFonts w:cs="Arial"/>
        </w:rPr>
      </w:pPr>
      <w:r w:rsidRPr="007678FC">
        <w:rPr>
          <w:rFonts w:cs="Arial"/>
        </w:rPr>
        <w:t>Representative from the Vermont Medical Society</w:t>
      </w:r>
    </w:p>
    <w:p w:rsidR="0019320E" w:rsidRPr="007678FC" w:rsidRDefault="0019320E" w:rsidP="00F46B28">
      <w:pPr>
        <w:numPr>
          <w:ilvl w:val="0"/>
          <w:numId w:val="2"/>
        </w:numPr>
        <w:rPr>
          <w:rFonts w:cs="Arial"/>
        </w:rPr>
      </w:pPr>
      <w:r w:rsidRPr="007678FC">
        <w:rPr>
          <w:rFonts w:cs="Arial"/>
        </w:rPr>
        <w:t>Representative from the Vermont Nurse Practitioners Association</w:t>
      </w:r>
    </w:p>
    <w:p w:rsidR="0019320E" w:rsidRPr="007678FC" w:rsidRDefault="0019320E" w:rsidP="00F46B28">
      <w:pPr>
        <w:numPr>
          <w:ilvl w:val="0"/>
          <w:numId w:val="2"/>
        </w:numPr>
        <w:rPr>
          <w:rFonts w:cs="Arial"/>
        </w:rPr>
      </w:pPr>
      <w:r w:rsidRPr="007678FC">
        <w:rPr>
          <w:rFonts w:cs="Arial"/>
        </w:rPr>
        <w:t>Representative from a Statewide Quality Assurance Organization</w:t>
      </w:r>
    </w:p>
    <w:p w:rsidR="0019320E" w:rsidRPr="007678FC" w:rsidRDefault="0019320E" w:rsidP="00F46B28">
      <w:pPr>
        <w:numPr>
          <w:ilvl w:val="0"/>
          <w:numId w:val="2"/>
        </w:numPr>
        <w:rPr>
          <w:rFonts w:cs="Arial"/>
        </w:rPr>
      </w:pPr>
      <w:r w:rsidRPr="007678FC">
        <w:rPr>
          <w:rFonts w:cs="Arial"/>
        </w:rPr>
        <w:t>Representative from the Vermont Association of Hospitals and Health Systems</w:t>
      </w:r>
    </w:p>
    <w:p w:rsidR="0019320E" w:rsidRPr="007678FC" w:rsidRDefault="0019320E" w:rsidP="00F46B28">
      <w:pPr>
        <w:numPr>
          <w:ilvl w:val="0"/>
          <w:numId w:val="2"/>
        </w:numPr>
        <w:rPr>
          <w:rFonts w:cs="Arial"/>
        </w:rPr>
      </w:pPr>
      <w:r w:rsidRPr="007678FC">
        <w:rPr>
          <w:rFonts w:cs="Arial"/>
        </w:rPr>
        <w:t>Two Representatives of Private Health Insurers</w:t>
      </w:r>
    </w:p>
    <w:p w:rsidR="0019320E" w:rsidRPr="007678FC" w:rsidRDefault="0019320E" w:rsidP="00F46B28">
      <w:pPr>
        <w:numPr>
          <w:ilvl w:val="0"/>
          <w:numId w:val="2"/>
        </w:numPr>
        <w:rPr>
          <w:rFonts w:cs="Arial"/>
        </w:rPr>
      </w:pPr>
      <w:r w:rsidRPr="007678FC">
        <w:rPr>
          <w:rFonts w:cs="Arial"/>
        </w:rPr>
        <w:t>Representative of the Vermont Assembly of Home Health Agencies who has clinical experience</w:t>
      </w:r>
    </w:p>
    <w:p w:rsidR="0019320E" w:rsidRPr="007678FC" w:rsidRDefault="0019320E" w:rsidP="00F46B28">
      <w:pPr>
        <w:numPr>
          <w:ilvl w:val="0"/>
          <w:numId w:val="2"/>
        </w:numPr>
        <w:rPr>
          <w:rFonts w:cs="Arial"/>
        </w:rPr>
      </w:pPr>
      <w:r w:rsidRPr="007678FC">
        <w:rPr>
          <w:rFonts w:cs="Arial"/>
        </w:rPr>
        <w:t xml:space="preserve">Representative from a Self-insured Employer who offers a Health Benefit Plan to its Employees </w:t>
      </w:r>
    </w:p>
    <w:p w:rsidR="0019320E" w:rsidRPr="007678FC" w:rsidRDefault="0019320E" w:rsidP="00F46B28">
      <w:pPr>
        <w:numPr>
          <w:ilvl w:val="0"/>
          <w:numId w:val="2"/>
        </w:numPr>
        <w:rPr>
          <w:rFonts w:cs="Arial"/>
        </w:rPr>
      </w:pPr>
      <w:r w:rsidRPr="007678FC">
        <w:rPr>
          <w:rFonts w:cs="Arial"/>
        </w:rPr>
        <w:t>Representative of the state employee’s health plan, who shall be designated by the director of human resources and who may be an employee of the third-party administrator contracting to provide services to the state employees’ health plan</w:t>
      </w:r>
    </w:p>
    <w:p w:rsidR="0019320E" w:rsidRPr="007678FC" w:rsidRDefault="0019320E" w:rsidP="00F46B28">
      <w:pPr>
        <w:numPr>
          <w:ilvl w:val="0"/>
          <w:numId w:val="2"/>
        </w:numPr>
        <w:rPr>
          <w:rFonts w:cs="Arial"/>
        </w:rPr>
      </w:pPr>
      <w:r w:rsidRPr="007678FC">
        <w:rPr>
          <w:rFonts w:cs="Arial"/>
        </w:rPr>
        <w:t>Representative of the complementary and alternative medicine professions</w:t>
      </w:r>
    </w:p>
    <w:p w:rsidR="0019320E" w:rsidRPr="007678FC" w:rsidRDefault="0019320E" w:rsidP="00F46B28">
      <w:pPr>
        <w:numPr>
          <w:ilvl w:val="0"/>
          <w:numId w:val="2"/>
        </w:numPr>
        <w:rPr>
          <w:rFonts w:cs="Arial"/>
        </w:rPr>
      </w:pPr>
      <w:r w:rsidRPr="007678FC">
        <w:rPr>
          <w:rFonts w:cs="Arial"/>
        </w:rPr>
        <w:t>A primary care professional serving low income or uninsured Vermonters</w:t>
      </w:r>
    </w:p>
    <w:p w:rsidR="0019320E" w:rsidRPr="007678FC" w:rsidRDefault="0019320E" w:rsidP="00F46B28">
      <w:pPr>
        <w:numPr>
          <w:ilvl w:val="0"/>
          <w:numId w:val="2"/>
        </w:numPr>
        <w:rPr>
          <w:rFonts w:cs="Arial"/>
        </w:rPr>
      </w:pPr>
      <w:r w:rsidRPr="007678FC">
        <w:rPr>
          <w:rFonts w:cs="Arial"/>
        </w:rPr>
        <w:t>A consumer</w:t>
      </w:r>
    </w:p>
    <w:p w:rsidR="0019320E" w:rsidRPr="007678FC" w:rsidRDefault="0019320E" w:rsidP="0019320E">
      <w:pPr>
        <w:ind w:left="360"/>
        <w:rPr>
          <w:rFonts w:cs="Arial"/>
        </w:rPr>
      </w:pPr>
    </w:p>
    <w:p w:rsidR="0019320E" w:rsidRPr="007678FC" w:rsidRDefault="0019320E" w:rsidP="0019320E">
      <w:pPr>
        <w:rPr>
          <w:rFonts w:cs="Arial"/>
        </w:rPr>
      </w:pPr>
      <w:r w:rsidRPr="007678FC">
        <w:rPr>
          <w:rFonts w:cs="Arial"/>
        </w:rPr>
        <w:t>In addition, the Director of the Commission on Health Care Reform shall be a nonvoting member of the Executive Committee.</w:t>
      </w:r>
    </w:p>
    <w:p w:rsidR="0019320E" w:rsidRPr="007678FC" w:rsidRDefault="0019320E" w:rsidP="0019320E">
      <w:pPr>
        <w:ind w:left="360"/>
        <w:rPr>
          <w:rFonts w:cs="Arial"/>
        </w:rPr>
      </w:pPr>
    </w:p>
    <w:p w:rsidR="0019320E" w:rsidRPr="007678FC" w:rsidRDefault="0019320E" w:rsidP="0019320E">
      <w:pPr>
        <w:rPr>
          <w:rFonts w:cs="Arial"/>
        </w:rPr>
      </w:pPr>
      <w:r w:rsidRPr="007678FC">
        <w:rPr>
          <w:rFonts w:cs="Arial"/>
          <w:b/>
        </w:rPr>
        <w:t>Meeting Frequency:</w:t>
      </w:r>
      <w:r w:rsidRPr="007678FC">
        <w:rPr>
          <w:rFonts w:cs="Arial"/>
        </w:rPr>
        <w:t xml:space="preserve">  Regular meetings shall be held monthly, convening no fewer than 6 times annually.  Meeting schedules, committee membership, minutes and updates can be found by going to </w:t>
      </w:r>
      <w:hyperlink r:id="rId18" w:history="1">
        <w:r w:rsidR="00E5269F" w:rsidRPr="007678FC">
          <w:rPr>
            <w:rStyle w:val="Hyperlink"/>
            <w:rFonts w:cs="Arial"/>
          </w:rPr>
          <w:t>http://blueprintforhealth.vermont.gov/workgroups_and_committees</w:t>
        </w:r>
      </w:hyperlink>
      <w:r w:rsidR="00E5269F" w:rsidRPr="007678FC">
        <w:rPr>
          <w:rFonts w:cs="Arial"/>
        </w:rPr>
        <w:t xml:space="preserve">.  </w:t>
      </w:r>
    </w:p>
    <w:p w:rsidR="0019320E" w:rsidRPr="007678FC" w:rsidRDefault="0019320E" w:rsidP="0019320E">
      <w:pPr>
        <w:rPr>
          <w:rFonts w:cs="Arial"/>
        </w:rPr>
      </w:pPr>
    </w:p>
    <w:p w:rsidR="0019320E" w:rsidRPr="007678FC" w:rsidRDefault="0019320E" w:rsidP="0019320E">
      <w:pPr>
        <w:rPr>
          <w:rFonts w:cs="Arial"/>
        </w:rPr>
      </w:pPr>
      <w:r w:rsidRPr="007678FC">
        <w:rPr>
          <w:rFonts w:cs="Arial"/>
          <w:b/>
        </w:rPr>
        <w:t>Members Responsibilities:</w:t>
      </w:r>
      <w:r w:rsidRPr="007678FC">
        <w:rPr>
          <w:rFonts w:cs="Arial"/>
        </w:rPr>
        <w:t xml:space="preserve">  Members </w:t>
      </w:r>
      <w:r w:rsidR="00437A47">
        <w:rPr>
          <w:rFonts w:cs="Arial"/>
        </w:rPr>
        <w:t>will</w:t>
      </w:r>
      <w:r w:rsidRPr="007678FC">
        <w:rPr>
          <w:rFonts w:cs="Arial"/>
        </w:rPr>
        <w:t xml:space="preserve"> be expected to attend all meetings except as they are prevented by a valid reason.</w:t>
      </w:r>
    </w:p>
    <w:p w:rsidR="0019320E" w:rsidRPr="007678FC" w:rsidRDefault="0019320E" w:rsidP="0019320E">
      <w:pPr>
        <w:rPr>
          <w:rFonts w:cs="Arial"/>
        </w:rPr>
      </w:pPr>
    </w:p>
    <w:p w:rsidR="0019320E" w:rsidRPr="007678FC" w:rsidRDefault="0019320E" w:rsidP="000815EB">
      <w:pPr>
        <w:pStyle w:val="Heading2"/>
      </w:pPr>
      <w:bookmarkStart w:id="21" w:name="_Toc419884047"/>
      <w:bookmarkStart w:id="22" w:name="_Toc419884327"/>
      <w:bookmarkStart w:id="23" w:name="_Toc440036713"/>
      <w:bookmarkStart w:id="24" w:name="_Toc521488561"/>
      <w:r w:rsidRPr="007678FC">
        <w:lastRenderedPageBreak/>
        <w:t>Blueprint Expansion Design and Evaluation Committee</w:t>
      </w:r>
      <w:bookmarkEnd w:id="21"/>
      <w:bookmarkEnd w:id="22"/>
      <w:bookmarkEnd w:id="23"/>
      <w:bookmarkEnd w:id="24"/>
    </w:p>
    <w:p w:rsidR="0019320E" w:rsidRPr="007678FC" w:rsidRDefault="0019320E" w:rsidP="0019320E">
      <w:pPr>
        <w:rPr>
          <w:rFonts w:cs="Arial"/>
        </w:rPr>
      </w:pPr>
      <w:r w:rsidRPr="007678FC">
        <w:rPr>
          <w:rFonts w:cs="Arial"/>
          <w:b/>
        </w:rPr>
        <w:t xml:space="preserve">Purpose: </w:t>
      </w:r>
      <w:r w:rsidRPr="007678FC">
        <w:rPr>
          <w:rFonts w:cs="Arial"/>
        </w:rPr>
        <w:t xml:space="preserve"> The Blueprint Expansion Design and Evaluation Committee shall advise the Blueprint Director in more detailed planning related to program design, including modifications over time, for statewide implementation of the Blueprint model and to recommend appropriate methods to evaluate the Blueprint.  </w:t>
      </w:r>
    </w:p>
    <w:p w:rsidR="0019320E" w:rsidRPr="007678FC" w:rsidRDefault="0019320E" w:rsidP="0019320E">
      <w:pPr>
        <w:ind w:left="360" w:hanging="360"/>
        <w:rPr>
          <w:rFonts w:cs="Arial"/>
        </w:rPr>
      </w:pPr>
    </w:p>
    <w:p w:rsidR="0019320E" w:rsidRPr="007678FC" w:rsidRDefault="0019320E" w:rsidP="0019320E">
      <w:pPr>
        <w:rPr>
          <w:rFonts w:cs="Arial"/>
        </w:rPr>
      </w:pPr>
      <w:r w:rsidRPr="007678FC">
        <w:rPr>
          <w:rFonts w:cs="Arial"/>
          <w:b/>
        </w:rPr>
        <w:t>Committee Make-up:</w:t>
      </w:r>
      <w:r w:rsidRPr="007678FC">
        <w:rPr>
          <w:rFonts w:cs="Arial"/>
        </w:rPr>
        <w:t xml:space="preserve">  The Blueprint Expansion Design and Evaluation Committee is composed of but not limited to the following individuals:</w:t>
      </w:r>
    </w:p>
    <w:p w:rsidR="0019320E" w:rsidRPr="007678FC" w:rsidRDefault="0019320E" w:rsidP="00F46B28">
      <w:pPr>
        <w:numPr>
          <w:ilvl w:val="0"/>
          <w:numId w:val="2"/>
        </w:numPr>
        <w:rPr>
          <w:rFonts w:cs="Arial"/>
        </w:rPr>
      </w:pPr>
      <w:r w:rsidRPr="007678FC">
        <w:rPr>
          <w:rFonts w:cs="Arial"/>
        </w:rPr>
        <w:t>Members of the Executive Committee (or designee)</w:t>
      </w:r>
    </w:p>
    <w:p w:rsidR="0019320E" w:rsidRPr="007678FC" w:rsidRDefault="0019320E" w:rsidP="00F46B28">
      <w:pPr>
        <w:numPr>
          <w:ilvl w:val="0"/>
          <w:numId w:val="2"/>
        </w:numPr>
        <w:rPr>
          <w:rFonts w:cs="Arial"/>
        </w:rPr>
      </w:pPr>
      <w:r w:rsidRPr="007678FC">
        <w:rPr>
          <w:rFonts w:cs="Arial"/>
        </w:rPr>
        <w:t>Representatives of participating health insurers</w:t>
      </w:r>
    </w:p>
    <w:p w:rsidR="0019320E" w:rsidRPr="007678FC" w:rsidRDefault="0019320E" w:rsidP="00F46B28">
      <w:pPr>
        <w:numPr>
          <w:ilvl w:val="0"/>
          <w:numId w:val="2"/>
        </w:numPr>
        <w:rPr>
          <w:rFonts w:cs="Arial"/>
        </w:rPr>
      </w:pPr>
      <w:r w:rsidRPr="007678FC">
        <w:rPr>
          <w:rFonts w:cs="Arial"/>
        </w:rPr>
        <w:t>Representatives of participating medical homes and community health teams</w:t>
      </w:r>
    </w:p>
    <w:p w:rsidR="0019320E" w:rsidRPr="007678FC" w:rsidRDefault="0019320E" w:rsidP="00F46B28">
      <w:pPr>
        <w:numPr>
          <w:ilvl w:val="0"/>
          <w:numId w:val="2"/>
        </w:numPr>
        <w:rPr>
          <w:rFonts w:cs="Arial"/>
        </w:rPr>
      </w:pPr>
      <w:r w:rsidRPr="007678FC">
        <w:rPr>
          <w:rFonts w:cs="Arial"/>
        </w:rPr>
        <w:t>Deputy Director of Health Care Reform</w:t>
      </w:r>
    </w:p>
    <w:p w:rsidR="0019320E" w:rsidRPr="007678FC" w:rsidRDefault="0019320E" w:rsidP="00F46B28">
      <w:pPr>
        <w:numPr>
          <w:ilvl w:val="0"/>
          <w:numId w:val="2"/>
        </w:numPr>
        <w:rPr>
          <w:rFonts w:cs="Arial"/>
        </w:rPr>
      </w:pPr>
      <w:r w:rsidRPr="007678FC">
        <w:rPr>
          <w:rFonts w:cs="Arial"/>
        </w:rPr>
        <w:t>Representative of the Bi-State Primary Care Association</w:t>
      </w:r>
    </w:p>
    <w:p w:rsidR="0019320E" w:rsidRPr="007678FC" w:rsidRDefault="0019320E" w:rsidP="00F46B28">
      <w:pPr>
        <w:numPr>
          <w:ilvl w:val="0"/>
          <w:numId w:val="2"/>
        </w:numPr>
        <w:rPr>
          <w:rFonts w:cs="Arial"/>
        </w:rPr>
      </w:pPr>
      <w:r w:rsidRPr="007678FC">
        <w:rPr>
          <w:rFonts w:cs="Arial"/>
        </w:rPr>
        <w:t>Representative of the University of Vermont College of Medicine’s Office of Primary Care</w:t>
      </w:r>
    </w:p>
    <w:p w:rsidR="0019320E" w:rsidRPr="007678FC" w:rsidRDefault="0019320E" w:rsidP="00F46B28">
      <w:pPr>
        <w:numPr>
          <w:ilvl w:val="0"/>
          <w:numId w:val="2"/>
        </w:numPr>
        <w:rPr>
          <w:rFonts w:cs="Arial"/>
        </w:rPr>
      </w:pPr>
      <w:r w:rsidRPr="007678FC">
        <w:rPr>
          <w:rFonts w:cs="Arial"/>
        </w:rPr>
        <w:t xml:space="preserve">Representative </w:t>
      </w:r>
      <w:r w:rsidR="00313700" w:rsidRPr="007678FC">
        <w:rPr>
          <w:rFonts w:cs="Arial"/>
        </w:rPr>
        <w:t>of Vermont</w:t>
      </w:r>
      <w:r w:rsidRPr="007678FC">
        <w:rPr>
          <w:rFonts w:cs="Arial"/>
        </w:rPr>
        <w:t xml:space="preserve"> Information Technology Leaders, Inc.</w:t>
      </w:r>
    </w:p>
    <w:p w:rsidR="0019320E" w:rsidRPr="007678FC" w:rsidRDefault="0019320E" w:rsidP="00F46B28">
      <w:pPr>
        <w:numPr>
          <w:ilvl w:val="0"/>
          <w:numId w:val="2"/>
        </w:numPr>
        <w:rPr>
          <w:rFonts w:cs="Arial"/>
        </w:rPr>
      </w:pPr>
      <w:r w:rsidRPr="007678FC">
        <w:rPr>
          <w:rFonts w:cs="Arial"/>
        </w:rPr>
        <w:t>Consumer representatives</w:t>
      </w:r>
    </w:p>
    <w:p w:rsidR="0019320E" w:rsidRPr="007678FC" w:rsidRDefault="0019320E" w:rsidP="0019320E">
      <w:pPr>
        <w:rPr>
          <w:rFonts w:cs="Arial"/>
        </w:rPr>
      </w:pPr>
    </w:p>
    <w:p w:rsidR="0019320E" w:rsidRPr="007678FC" w:rsidRDefault="0019320E" w:rsidP="0019320E">
      <w:pPr>
        <w:rPr>
          <w:rFonts w:cs="Arial"/>
        </w:rPr>
      </w:pPr>
      <w:r w:rsidRPr="007678FC">
        <w:rPr>
          <w:rFonts w:cs="Arial"/>
          <w:b/>
        </w:rPr>
        <w:t>Meeting Frequency:</w:t>
      </w:r>
      <w:r w:rsidRPr="007678FC">
        <w:rPr>
          <w:rFonts w:cs="Arial"/>
        </w:rPr>
        <w:t xml:space="preserve">  Regular meetings will be held every other month with no fewer than six meetings annually.  Meeting schedules, committee membership, minutes and updates can be found by going to </w:t>
      </w:r>
      <w:hyperlink r:id="rId19" w:history="1">
        <w:r w:rsidR="00AE4245" w:rsidRPr="007678FC">
          <w:rPr>
            <w:rStyle w:val="Hyperlink"/>
            <w:rFonts w:cs="Arial"/>
          </w:rPr>
          <w:t>http://blueprintforhealth.vermont.gov/workgroups_and_committees</w:t>
        </w:r>
      </w:hyperlink>
      <w:r w:rsidR="00AE4245" w:rsidRPr="007678FC">
        <w:rPr>
          <w:rFonts w:cs="Arial"/>
        </w:rPr>
        <w:t xml:space="preserve">.  </w:t>
      </w:r>
    </w:p>
    <w:p w:rsidR="0019320E" w:rsidRPr="007678FC" w:rsidRDefault="0019320E" w:rsidP="0019320E">
      <w:pPr>
        <w:rPr>
          <w:rFonts w:cs="Arial"/>
        </w:rPr>
      </w:pPr>
    </w:p>
    <w:p w:rsidR="0019320E" w:rsidRPr="007678FC" w:rsidRDefault="0019320E" w:rsidP="0019320E">
      <w:pPr>
        <w:rPr>
          <w:rFonts w:cs="Arial"/>
        </w:rPr>
      </w:pPr>
      <w:r w:rsidRPr="007678FC">
        <w:rPr>
          <w:rFonts w:cs="Arial"/>
          <w:b/>
        </w:rPr>
        <w:t>Members Responsibilities:</w:t>
      </w:r>
      <w:r w:rsidRPr="007678FC">
        <w:rPr>
          <w:rFonts w:cs="Arial"/>
        </w:rPr>
        <w:t xml:space="preserve">  Members shall be expected to attend all meetings except as they are prevented by a valid reason.</w:t>
      </w:r>
    </w:p>
    <w:p w:rsidR="0019320E" w:rsidRPr="007678FC" w:rsidRDefault="0019320E" w:rsidP="0019320E">
      <w:pPr>
        <w:rPr>
          <w:rFonts w:cs="Arial"/>
        </w:rPr>
      </w:pPr>
    </w:p>
    <w:p w:rsidR="0019320E" w:rsidRPr="007678FC" w:rsidRDefault="0019320E" w:rsidP="000815EB">
      <w:pPr>
        <w:pStyle w:val="Heading2"/>
      </w:pPr>
      <w:bookmarkStart w:id="25" w:name="_Toc419884048"/>
      <w:bookmarkStart w:id="26" w:name="_Toc419884328"/>
      <w:bookmarkStart w:id="27" w:name="_Toc440036714"/>
      <w:bookmarkStart w:id="28" w:name="_Toc521488562"/>
      <w:r w:rsidRPr="007678FC">
        <w:t>Blueprint Payment Implementation Work Group</w:t>
      </w:r>
      <w:bookmarkEnd w:id="25"/>
      <w:bookmarkEnd w:id="26"/>
      <w:bookmarkEnd w:id="27"/>
      <w:bookmarkEnd w:id="28"/>
    </w:p>
    <w:p w:rsidR="0019320E" w:rsidRPr="007678FC" w:rsidRDefault="0019320E" w:rsidP="0019320E">
      <w:pPr>
        <w:rPr>
          <w:rFonts w:cs="Arial"/>
        </w:rPr>
      </w:pPr>
      <w:r w:rsidRPr="007678FC">
        <w:rPr>
          <w:rFonts w:cs="Arial"/>
          <w:b/>
        </w:rPr>
        <w:t>Purpose:</w:t>
      </w:r>
      <w:r w:rsidRPr="007678FC">
        <w:rPr>
          <w:rFonts w:cs="Arial"/>
        </w:rPr>
        <w:t xml:space="preserve">  The purpose of the Blueprint Payment Implementation Work Group is to implement the payment reforms that support advanced primary care practices and community health teams, design the payment mechanisms and patient attribution strategies, modifications over time, and to make recommendations to the Blueprint Expansion Design and Evaluation Committee.</w:t>
      </w:r>
    </w:p>
    <w:p w:rsidR="0019320E" w:rsidRPr="007678FC" w:rsidRDefault="0019320E" w:rsidP="0019320E">
      <w:pPr>
        <w:rPr>
          <w:rFonts w:cs="Arial"/>
        </w:rPr>
      </w:pPr>
      <w:r w:rsidRPr="007678FC">
        <w:rPr>
          <w:rFonts w:cs="Arial"/>
        </w:rPr>
        <w:t xml:space="preserve"> </w:t>
      </w:r>
    </w:p>
    <w:p w:rsidR="0019320E" w:rsidRPr="007678FC" w:rsidRDefault="0019320E" w:rsidP="0019320E">
      <w:pPr>
        <w:rPr>
          <w:rFonts w:cs="Arial"/>
        </w:rPr>
      </w:pPr>
      <w:r w:rsidRPr="007678FC">
        <w:rPr>
          <w:rFonts w:cs="Arial"/>
          <w:b/>
        </w:rPr>
        <w:t>Work Group Make-Up:</w:t>
      </w:r>
      <w:r w:rsidRPr="007678FC">
        <w:rPr>
          <w:rFonts w:cs="Arial"/>
        </w:rPr>
        <w:t xml:space="preserve">  The Blueprint Payer Implementation Work Group is composed of but not limited to the following individuals:</w:t>
      </w:r>
    </w:p>
    <w:p w:rsidR="0019320E" w:rsidRPr="007678FC" w:rsidRDefault="0019320E" w:rsidP="00F46B28">
      <w:pPr>
        <w:numPr>
          <w:ilvl w:val="0"/>
          <w:numId w:val="2"/>
        </w:numPr>
        <w:rPr>
          <w:rFonts w:cs="Arial"/>
        </w:rPr>
      </w:pPr>
      <w:r w:rsidRPr="007678FC">
        <w:rPr>
          <w:rFonts w:cs="Arial"/>
        </w:rPr>
        <w:t>Representatives of the participating health insurers (public and commercial)</w:t>
      </w:r>
    </w:p>
    <w:p w:rsidR="0019320E" w:rsidRPr="007678FC" w:rsidRDefault="0019320E" w:rsidP="00F46B28">
      <w:pPr>
        <w:numPr>
          <w:ilvl w:val="0"/>
          <w:numId w:val="2"/>
        </w:numPr>
        <w:rPr>
          <w:rFonts w:cs="Arial"/>
        </w:rPr>
      </w:pPr>
      <w:r w:rsidRPr="007678FC">
        <w:rPr>
          <w:rFonts w:cs="Arial"/>
        </w:rPr>
        <w:t>Representatives of participating advanced primary care practices and community health teams</w:t>
      </w:r>
    </w:p>
    <w:p w:rsidR="0019320E" w:rsidRPr="007678FC" w:rsidRDefault="0019320E" w:rsidP="00F46B28">
      <w:pPr>
        <w:numPr>
          <w:ilvl w:val="0"/>
          <w:numId w:val="2"/>
        </w:numPr>
        <w:rPr>
          <w:rFonts w:cs="Arial"/>
        </w:rPr>
      </w:pPr>
      <w:r w:rsidRPr="007678FC">
        <w:rPr>
          <w:rFonts w:cs="Arial"/>
        </w:rPr>
        <w:t xml:space="preserve">Administrative and project management leadership in each </w:t>
      </w:r>
      <w:r w:rsidR="00817C3B" w:rsidRPr="007678FC">
        <w:rPr>
          <w:rFonts w:cs="Arial"/>
        </w:rPr>
        <w:t>Health</w:t>
      </w:r>
      <w:r w:rsidRPr="007678FC">
        <w:rPr>
          <w:rFonts w:cs="Arial"/>
        </w:rPr>
        <w:t xml:space="preserve"> Service Area</w:t>
      </w:r>
    </w:p>
    <w:p w:rsidR="0019320E" w:rsidRPr="007678FC" w:rsidRDefault="0019320E" w:rsidP="00F46B28">
      <w:pPr>
        <w:numPr>
          <w:ilvl w:val="0"/>
          <w:numId w:val="2"/>
        </w:numPr>
        <w:rPr>
          <w:rFonts w:cs="Arial"/>
        </w:rPr>
      </w:pPr>
      <w:r w:rsidRPr="007678FC">
        <w:rPr>
          <w:rFonts w:cs="Arial"/>
        </w:rPr>
        <w:t>Commissioner of the Department of Vermont Health Access or designee</w:t>
      </w:r>
    </w:p>
    <w:p w:rsidR="0019320E" w:rsidRPr="007678FC" w:rsidRDefault="0019320E" w:rsidP="0019320E">
      <w:pPr>
        <w:rPr>
          <w:rFonts w:cs="Arial"/>
        </w:rPr>
      </w:pPr>
    </w:p>
    <w:p w:rsidR="0019320E" w:rsidRPr="007678FC" w:rsidRDefault="0019320E" w:rsidP="0019320E">
      <w:pPr>
        <w:rPr>
          <w:rFonts w:cs="Arial"/>
        </w:rPr>
      </w:pPr>
      <w:r w:rsidRPr="007678FC">
        <w:rPr>
          <w:rFonts w:cs="Arial"/>
          <w:b/>
        </w:rPr>
        <w:t>Meeting Frequency:</w:t>
      </w:r>
      <w:r w:rsidRPr="007678FC">
        <w:rPr>
          <w:rFonts w:cs="Arial"/>
        </w:rPr>
        <w:t xml:space="preserve">  The Blueprint Payer Implementation Work Group shall meet no fewer than six times annually.  The work group complies with open meeting and public record requirements.  Meeting schedules, work group membership, minutes and updates </w:t>
      </w:r>
      <w:r w:rsidRPr="007678FC">
        <w:rPr>
          <w:rFonts w:cs="Arial"/>
        </w:rPr>
        <w:lastRenderedPageBreak/>
        <w:t xml:space="preserve">can be found by going to </w:t>
      </w:r>
      <w:hyperlink r:id="rId20" w:history="1">
        <w:r w:rsidR="00E5269F" w:rsidRPr="007678FC">
          <w:rPr>
            <w:rStyle w:val="Hyperlink"/>
            <w:rFonts w:cs="Arial"/>
          </w:rPr>
          <w:t>http://blueprintforhealth.vermont.gov/workgroups_and_committees</w:t>
        </w:r>
      </w:hyperlink>
      <w:r w:rsidRPr="007678FC">
        <w:rPr>
          <w:rFonts w:cs="Arial"/>
        </w:rPr>
        <w:t>.</w:t>
      </w:r>
      <w:r w:rsidR="00E5269F" w:rsidRPr="007678FC">
        <w:rPr>
          <w:rFonts w:cs="Arial"/>
        </w:rPr>
        <w:t xml:space="preserve"> </w:t>
      </w:r>
    </w:p>
    <w:p w:rsidR="0019320E" w:rsidRPr="007678FC" w:rsidRDefault="0019320E" w:rsidP="0019320E">
      <w:pPr>
        <w:rPr>
          <w:rFonts w:cs="Arial"/>
        </w:rPr>
      </w:pPr>
    </w:p>
    <w:p w:rsidR="0019320E" w:rsidRPr="007678FC" w:rsidRDefault="0019320E" w:rsidP="0019320E">
      <w:pPr>
        <w:rPr>
          <w:rFonts w:cs="Arial"/>
        </w:rPr>
      </w:pPr>
      <w:r w:rsidRPr="007678FC">
        <w:rPr>
          <w:rFonts w:cs="Arial"/>
          <w:b/>
        </w:rPr>
        <w:t>Members Responsibilities:</w:t>
      </w:r>
      <w:r w:rsidRPr="007678FC">
        <w:rPr>
          <w:rFonts w:cs="Arial"/>
        </w:rPr>
        <w:t xml:space="preserve">  Members shall be expected to attend all meetings except as they are prevented by a valid reason.</w:t>
      </w:r>
    </w:p>
    <w:p w:rsidR="0019320E" w:rsidRPr="007678FC" w:rsidRDefault="0019320E" w:rsidP="0019320E">
      <w:pPr>
        <w:rPr>
          <w:rFonts w:cs="Arial"/>
        </w:rPr>
      </w:pPr>
    </w:p>
    <w:p w:rsidR="0019320E" w:rsidRPr="007678FC" w:rsidRDefault="0019320E" w:rsidP="0019320E">
      <w:pPr>
        <w:ind w:left="1080"/>
        <w:rPr>
          <w:rFonts w:cs="Arial"/>
        </w:rPr>
      </w:pPr>
    </w:p>
    <w:p w:rsidR="0019320E" w:rsidRPr="007678FC" w:rsidRDefault="0019320E" w:rsidP="006E05C6">
      <w:pPr>
        <w:pStyle w:val="Heading1"/>
      </w:pPr>
      <w:r w:rsidRPr="007678FC">
        <w:t xml:space="preserve">  </w:t>
      </w:r>
      <w:bookmarkStart w:id="29" w:name="_Toc419884049"/>
      <w:bookmarkStart w:id="30" w:name="_Toc419884329"/>
      <w:bookmarkStart w:id="31" w:name="_Toc440036715"/>
      <w:bookmarkStart w:id="32" w:name="_Toc521488563"/>
      <w:r w:rsidR="007E7FAA" w:rsidRPr="007678FC">
        <w:t xml:space="preserve">Health </w:t>
      </w:r>
      <w:r w:rsidRPr="007678FC">
        <w:t>Service Area Organization</w:t>
      </w:r>
      <w:bookmarkEnd w:id="29"/>
      <w:bookmarkEnd w:id="30"/>
      <w:bookmarkEnd w:id="31"/>
      <w:bookmarkEnd w:id="32"/>
    </w:p>
    <w:p w:rsidR="0019320E" w:rsidRPr="007678FC" w:rsidRDefault="0019320E" w:rsidP="000815EB">
      <w:pPr>
        <w:pStyle w:val="Heading2"/>
      </w:pPr>
      <w:bookmarkStart w:id="33" w:name="_Toc419884050"/>
      <w:bookmarkStart w:id="34" w:name="_Toc419884330"/>
      <w:bookmarkStart w:id="35" w:name="_Toc440036716"/>
      <w:bookmarkStart w:id="36" w:name="_Toc521488564"/>
      <w:r w:rsidRPr="007678FC">
        <w:t>Administrative Entity</w:t>
      </w:r>
      <w:bookmarkEnd w:id="33"/>
      <w:bookmarkEnd w:id="34"/>
      <w:bookmarkEnd w:id="35"/>
      <w:bookmarkEnd w:id="36"/>
    </w:p>
    <w:p w:rsidR="0019320E" w:rsidRPr="007678FC" w:rsidRDefault="0019320E" w:rsidP="0019320E">
      <w:pPr>
        <w:rPr>
          <w:rFonts w:cs="Arial"/>
        </w:rPr>
      </w:pPr>
      <w:r w:rsidRPr="007678FC">
        <w:rPr>
          <w:rFonts w:cs="Arial"/>
        </w:rPr>
        <w:t xml:space="preserve">Key stakeholders in each </w:t>
      </w:r>
      <w:r w:rsidR="007E7FAA" w:rsidRPr="007678FC">
        <w:rPr>
          <w:rFonts w:cs="Arial"/>
        </w:rPr>
        <w:t xml:space="preserve">health </w:t>
      </w:r>
      <w:r w:rsidRPr="007678FC">
        <w:rPr>
          <w:rFonts w:cs="Arial"/>
        </w:rPr>
        <w:t xml:space="preserve">service area (HSA) must agree upon and identify at least one administrative entity accountable for leading implementation and ongoing operations of the </w:t>
      </w:r>
      <w:r w:rsidR="00D96684">
        <w:rPr>
          <w:rFonts w:cs="Arial"/>
        </w:rPr>
        <w:t>All-Payer Model (APM)</w:t>
      </w:r>
      <w:r w:rsidRPr="007678FC">
        <w:rPr>
          <w:rFonts w:cs="Arial"/>
        </w:rPr>
        <w:t xml:space="preserve"> </w:t>
      </w:r>
      <w:r w:rsidR="00806BFF">
        <w:rPr>
          <w:rFonts w:cs="Arial"/>
        </w:rPr>
        <w:t xml:space="preserve">and </w:t>
      </w:r>
      <w:r w:rsidR="00806BFF" w:rsidRPr="007678FC">
        <w:rPr>
          <w:rFonts w:cs="Arial"/>
        </w:rPr>
        <w:t xml:space="preserve">the Blueprint program </w:t>
      </w:r>
      <w:r w:rsidRPr="007678FC">
        <w:rPr>
          <w:rFonts w:cs="Arial"/>
        </w:rPr>
        <w:t xml:space="preserve">in their </w:t>
      </w:r>
      <w:r w:rsidR="00806BFF">
        <w:rPr>
          <w:rFonts w:cs="Arial"/>
        </w:rPr>
        <w:t>HSA</w:t>
      </w:r>
      <w:r w:rsidRPr="007678FC">
        <w:rPr>
          <w:rFonts w:cs="Arial"/>
        </w:rPr>
        <w:t xml:space="preserve">.  Lead administrative entities within each HSA will also receive multi-insurer payments to support hiring of Community Health Teams, and therefore must be Centers for Medicare and Medicaid Services (CMS) eligible providers.  </w:t>
      </w:r>
      <w:r w:rsidRPr="007678FC">
        <w:t xml:space="preserve">  </w:t>
      </w:r>
    </w:p>
    <w:p w:rsidR="0019320E" w:rsidRPr="007678FC" w:rsidRDefault="0019320E" w:rsidP="0019320E">
      <w:pPr>
        <w:spacing w:after="240"/>
        <w:ind w:left="360"/>
        <w:rPr>
          <w:rFonts w:cs="Arial"/>
        </w:rPr>
      </w:pPr>
    </w:p>
    <w:p w:rsidR="0019320E" w:rsidRPr="007678FC" w:rsidRDefault="0019320E" w:rsidP="006E05C6">
      <w:pPr>
        <w:pStyle w:val="Heading1"/>
      </w:pPr>
      <w:bookmarkStart w:id="37" w:name="_Toc419884051"/>
      <w:bookmarkStart w:id="38" w:name="_Toc419884331"/>
      <w:bookmarkStart w:id="39" w:name="_Toc440036717"/>
      <w:bookmarkStart w:id="40" w:name="_Toc521488565"/>
      <w:r w:rsidRPr="007678FC">
        <w:t>Design &amp; Implementation</w:t>
      </w:r>
      <w:bookmarkEnd w:id="37"/>
      <w:bookmarkEnd w:id="38"/>
      <w:bookmarkEnd w:id="39"/>
      <w:bookmarkEnd w:id="40"/>
    </w:p>
    <w:p w:rsidR="0019320E" w:rsidRDefault="00C01A47" w:rsidP="000815EB">
      <w:pPr>
        <w:pStyle w:val="Heading2"/>
      </w:pPr>
      <w:bookmarkStart w:id="41" w:name="_Toc521488566"/>
      <w:r>
        <w:t>Statewide Health Reform</w:t>
      </w:r>
      <w:bookmarkEnd w:id="41"/>
    </w:p>
    <w:p w:rsidR="00E5071C" w:rsidRDefault="00E5071C" w:rsidP="00E5071C">
      <w:r>
        <w:t>The Vermont Blueprint for Health is a State of Vermont program created to work with the health and human service providers to design, test, and implement innovative ways of delivering and paying for health services and prevention projects targeted at improving the health of all Vermonters and reducing the growth in health</w:t>
      </w:r>
      <w:r w:rsidR="00213EC2">
        <w:t xml:space="preserve"> </w:t>
      </w:r>
      <w:r>
        <w:t xml:space="preserve">care costs. To achieve these goals, the Blueprint works with other </w:t>
      </w:r>
      <w:r w:rsidR="00806BFF">
        <w:t xml:space="preserve">partners </w:t>
      </w:r>
      <w:r>
        <w:t>to advance health care reform statewide.</w:t>
      </w:r>
    </w:p>
    <w:p w:rsidR="00E5071C" w:rsidRDefault="00E5071C" w:rsidP="00E5071C"/>
    <w:p w:rsidR="00697CC7" w:rsidRDefault="00697CC7" w:rsidP="00697CC7">
      <w:pPr>
        <w:pStyle w:val="Heading3"/>
      </w:pPr>
      <w:bookmarkStart w:id="42" w:name="_Toc521488567"/>
      <w:r>
        <w:t>Accountable Care Organization</w:t>
      </w:r>
      <w:bookmarkEnd w:id="42"/>
    </w:p>
    <w:p w:rsidR="00E5071C" w:rsidRDefault="00E5071C" w:rsidP="00E5071C">
      <w:r>
        <w:t>Accountable Care Organizations (ACOs) are member organizations composed of health care providers (hospitals, specialty medical practices, and primary care practices) and affiliated organizations (home health agencies, mental health agencies, area agencies on aging, etc.).  ACOs, on behalf of their members, enter into agreements with insurers to take on financial risk for the total cost of healthcare services and accountability for the health outcomes of attributed beneficiaries. ACOs</w:t>
      </w:r>
      <w:r w:rsidR="00BA3EE7">
        <w:t xml:space="preserve"> may</w:t>
      </w:r>
      <w:r>
        <w:t xml:space="preserve"> receive payments for delivering the health care services in lieu of fee-for-service payments. </w:t>
      </w:r>
      <w:r w:rsidR="00AC1360">
        <w:t>In Vermont, the ACO serving this function is OneCare Vermont.</w:t>
      </w:r>
    </w:p>
    <w:p w:rsidR="00C01A47" w:rsidRDefault="00C01A47" w:rsidP="00E5071C"/>
    <w:p w:rsidR="00697CC7" w:rsidRDefault="00E5071C" w:rsidP="00697CC7">
      <w:pPr>
        <w:pStyle w:val="Heading3"/>
      </w:pPr>
      <w:bookmarkStart w:id="43" w:name="_Toc521488568"/>
      <w:r>
        <w:t>All-Payer Model</w:t>
      </w:r>
      <w:bookmarkEnd w:id="43"/>
      <w:r>
        <w:t xml:space="preserve"> </w:t>
      </w:r>
    </w:p>
    <w:p w:rsidR="00697CC7" w:rsidRDefault="00792F51" w:rsidP="00E5071C">
      <w:r>
        <w:rPr>
          <w:sz w:val="23"/>
          <w:szCs w:val="23"/>
        </w:rPr>
        <w:t>The Vermont All-Payer Accountable Care Organization (ACO) Model is the Centers for Medicare &amp; Medicaid Services’ (CMS) new test of an alternative payment model</w:t>
      </w:r>
      <w:r w:rsidR="00806BFF">
        <w:rPr>
          <w:sz w:val="23"/>
          <w:szCs w:val="23"/>
        </w:rPr>
        <w:t xml:space="preserve"> through an ACO</w:t>
      </w:r>
      <w:r>
        <w:rPr>
          <w:sz w:val="23"/>
          <w:szCs w:val="23"/>
        </w:rPr>
        <w:t xml:space="preserve"> in which the most significant payers throughout the entire state – Medicare, Medicaid, and commercial health care payers – incentivize health care value and quality, with a focus on health outcomes, under the same payment structure for the majority of providers throughout the state’s care </w:t>
      </w:r>
      <w:r>
        <w:rPr>
          <w:sz w:val="23"/>
          <w:szCs w:val="23"/>
        </w:rPr>
        <w:lastRenderedPageBreak/>
        <w:t xml:space="preserve">delivery system and transform health care for the entire state and its population. (See </w:t>
      </w:r>
      <w:hyperlink r:id="rId21" w:history="1">
        <w:r>
          <w:rPr>
            <w:rStyle w:val="Hyperlink"/>
            <w:sz w:val="23"/>
            <w:szCs w:val="23"/>
          </w:rPr>
          <w:t>https://innovation.cms.gov/initiatives/vermont-all-payer-aco-model/</w:t>
        </w:r>
      </w:hyperlink>
      <w:r>
        <w:rPr>
          <w:sz w:val="23"/>
          <w:szCs w:val="23"/>
          <w:u w:val="single"/>
        </w:rPr>
        <w:t>.)</w:t>
      </w:r>
    </w:p>
    <w:p w:rsidR="00697CC7" w:rsidRDefault="00E5071C" w:rsidP="00697CC7">
      <w:pPr>
        <w:pStyle w:val="Heading3"/>
      </w:pPr>
      <w:bookmarkStart w:id="44" w:name="_Toc521488569"/>
      <w:r>
        <w:t>Population Health and Clinical Priorities</w:t>
      </w:r>
      <w:bookmarkEnd w:id="44"/>
      <w:r>
        <w:t xml:space="preserve"> </w:t>
      </w:r>
    </w:p>
    <w:p w:rsidR="00E5071C" w:rsidRDefault="00E5071C" w:rsidP="00E5071C">
      <w:r>
        <w:t xml:space="preserve">Through the All-Payer Model </w:t>
      </w:r>
      <w:r w:rsidR="00A27642">
        <w:t xml:space="preserve">(APM) </w:t>
      </w:r>
      <w:r>
        <w:t>Agreement, specific target population health outcomes were set for Vermont to improve</w:t>
      </w:r>
      <w:r w:rsidR="00AC1360">
        <w:t>:</w:t>
      </w:r>
      <w:r>
        <w:t xml:space="preserve"> access to primary care, reduce deaths from suicide and drug overdose, and reduce prevalence and morbidity from chronic disease.  To achieve these outcomes, the Accountable Care Organizations in the state have established clinical priorities with their members</w:t>
      </w:r>
      <w:r w:rsidR="00AC1360">
        <w:t>, and the Blueprint supports these efforts.</w:t>
      </w:r>
    </w:p>
    <w:p w:rsidR="00697CC7" w:rsidRDefault="00697CC7" w:rsidP="00E5071C"/>
    <w:p w:rsidR="00697CC7" w:rsidRDefault="00E5071C" w:rsidP="00697CC7">
      <w:pPr>
        <w:pStyle w:val="Heading3"/>
      </w:pPr>
      <w:bookmarkStart w:id="45" w:name="_Toc521488570"/>
      <w:r>
        <w:t>Health Service Areas</w:t>
      </w:r>
      <w:bookmarkEnd w:id="45"/>
      <w:r>
        <w:t xml:space="preserve"> </w:t>
      </w:r>
    </w:p>
    <w:p w:rsidR="00E5071C" w:rsidRPr="00E5071C" w:rsidRDefault="00E5071C" w:rsidP="00E5071C">
      <w:r>
        <w:t xml:space="preserve">To achieve the All-Payer Model population health outcomes and ACO clinical priorities, the Blueprint and ACOs have focused on supporting and making joint investments into communities to innovate and organize their health services. </w:t>
      </w:r>
      <w:r w:rsidR="00697CC7">
        <w:t xml:space="preserve">Thirteen </w:t>
      </w:r>
      <w:r>
        <w:t xml:space="preserve">communities or geographic regions, known as health service areas, have emerged in Vermont.  These health service areas are roughly based around the areas served by Vermont’s hospitals and their associated primary care </w:t>
      </w:r>
      <w:r w:rsidR="00697CC7">
        <w:t>services and</w:t>
      </w:r>
      <w:r>
        <w:t xml:space="preserve"> have significant overlap with State of Vermont human services districts and the regions served by the designated mental health and home health agencies.</w:t>
      </w:r>
      <w:r w:rsidR="00806BFF">
        <w:t xml:space="preserve"> </w:t>
      </w:r>
      <w:r w:rsidR="00295538">
        <w:t>A listing of HSAs by town names</w:t>
      </w:r>
      <w:r w:rsidR="00806BFF">
        <w:t xml:space="preserve"> is found in </w:t>
      </w:r>
      <w:r w:rsidR="00C83FBB" w:rsidRPr="00C83FBB">
        <w:t>Appendix 8.</w:t>
      </w:r>
    </w:p>
    <w:p w:rsidR="00A62D49" w:rsidRPr="007678FC" w:rsidRDefault="00A62D49" w:rsidP="000815EB">
      <w:pPr>
        <w:pStyle w:val="Heading2"/>
      </w:pPr>
      <w:bookmarkStart w:id="46" w:name="_Toc418618654"/>
      <w:bookmarkStart w:id="47" w:name="_Toc440036718"/>
      <w:bookmarkStart w:id="48" w:name="_Toc521488571"/>
      <w:r w:rsidRPr="007678FC">
        <w:t>Community Collaboratives</w:t>
      </w:r>
      <w:bookmarkEnd w:id="46"/>
      <w:bookmarkEnd w:id="47"/>
      <w:bookmarkEnd w:id="48"/>
    </w:p>
    <w:p w:rsidR="00525A1D" w:rsidRDefault="00525A1D" w:rsidP="00525A1D">
      <w:pPr>
        <w:rPr>
          <w:rFonts w:asciiTheme="majorHAnsi" w:hAnsiTheme="majorHAnsi"/>
        </w:rPr>
      </w:pPr>
      <w:bookmarkStart w:id="49" w:name="_Hlk517255013"/>
      <w:r w:rsidRPr="00525A1D">
        <w:rPr>
          <w:rFonts w:asciiTheme="majorHAnsi" w:hAnsiTheme="majorHAnsi"/>
        </w:rPr>
        <w:t>To help coordinate efforts in each Health Service Area, a governance body and associated work group structure known jointly as a Community Collaborative is in place</w:t>
      </w:r>
      <w:r w:rsidR="00806BFF">
        <w:rPr>
          <w:rFonts w:asciiTheme="majorHAnsi" w:hAnsiTheme="majorHAnsi"/>
        </w:rPr>
        <w:t>.</w:t>
      </w:r>
      <w:r w:rsidRPr="00525A1D">
        <w:rPr>
          <w:rFonts w:asciiTheme="majorHAnsi" w:hAnsiTheme="majorHAnsi"/>
        </w:rPr>
        <w:t xml:space="preserve"> The Community Collaborative is accountable for achieving the state population health and ACO</w:t>
      </w:r>
      <w:r>
        <w:rPr>
          <w:rFonts w:asciiTheme="majorHAnsi" w:hAnsiTheme="majorHAnsi"/>
        </w:rPr>
        <w:t>’</w:t>
      </w:r>
      <w:r w:rsidRPr="00525A1D">
        <w:rPr>
          <w:rFonts w:asciiTheme="majorHAnsi" w:hAnsiTheme="majorHAnsi"/>
        </w:rPr>
        <w:t xml:space="preserve">s goals within their local health service area. </w:t>
      </w:r>
      <w:r w:rsidR="00806BFF">
        <w:rPr>
          <w:rFonts w:asciiTheme="majorHAnsi" w:hAnsiTheme="majorHAnsi"/>
        </w:rPr>
        <w:t xml:space="preserve"> </w:t>
      </w:r>
    </w:p>
    <w:p w:rsidR="00806BFF" w:rsidRPr="00525A1D" w:rsidRDefault="00806BFF" w:rsidP="00525A1D">
      <w:pPr>
        <w:rPr>
          <w:rFonts w:asciiTheme="majorHAnsi" w:hAnsiTheme="majorHAnsi"/>
        </w:rPr>
      </w:pPr>
    </w:p>
    <w:bookmarkEnd w:id="49"/>
    <w:p w:rsidR="00525A1D" w:rsidRPr="00525A1D" w:rsidRDefault="00525A1D" w:rsidP="00525A1D">
      <w:pPr>
        <w:rPr>
          <w:rFonts w:asciiTheme="majorHAnsi" w:hAnsiTheme="majorHAnsi"/>
        </w:rPr>
      </w:pPr>
      <w:r w:rsidRPr="00525A1D">
        <w:rPr>
          <w:rFonts w:asciiTheme="majorHAnsi" w:hAnsiTheme="majorHAnsi"/>
        </w:rPr>
        <w:t>The intent of the Community Collaboratives is to:</w:t>
      </w:r>
    </w:p>
    <w:p w:rsidR="00525A1D" w:rsidRPr="00525A1D" w:rsidRDefault="00525A1D" w:rsidP="00515635">
      <w:pPr>
        <w:pStyle w:val="ListParagraph"/>
        <w:numPr>
          <w:ilvl w:val="0"/>
          <w:numId w:val="31"/>
        </w:numPr>
        <w:spacing w:before="120" w:after="120"/>
        <w:rPr>
          <w:rFonts w:asciiTheme="majorHAnsi" w:hAnsiTheme="majorHAnsi"/>
        </w:rPr>
      </w:pPr>
      <w:r w:rsidRPr="00525A1D">
        <w:rPr>
          <w:rFonts w:asciiTheme="majorHAnsi" w:hAnsiTheme="majorHAnsi"/>
        </w:rPr>
        <w:t xml:space="preserve">understand the current health status of the residents of the Health Service Area, the costs of health care services used by those residents, and the structure of available health services; </w:t>
      </w:r>
    </w:p>
    <w:p w:rsidR="00525A1D" w:rsidRPr="00525A1D" w:rsidRDefault="00525A1D" w:rsidP="00515635">
      <w:pPr>
        <w:pStyle w:val="ListParagraph"/>
        <w:numPr>
          <w:ilvl w:val="0"/>
          <w:numId w:val="31"/>
        </w:numPr>
        <w:spacing w:before="120" w:after="120"/>
        <w:rPr>
          <w:rFonts w:asciiTheme="majorHAnsi" w:hAnsiTheme="majorHAnsi"/>
        </w:rPr>
      </w:pPr>
      <w:r w:rsidRPr="00525A1D">
        <w:rPr>
          <w:rFonts w:asciiTheme="majorHAnsi" w:hAnsiTheme="majorHAnsi"/>
        </w:rPr>
        <w:t xml:space="preserve">identify opportunities to improve health, lower costs, and improve the delivery of health care services; </w:t>
      </w:r>
    </w:p>
    <w:p w:rsidR="00525A1D" w:rsidRPr="00525A1D" w:rsidRDefault="00525A1D" w:rsidP="00515635">
      <w:pPr>
        <w:pStyle w:val="ListParagraph"/>
        <w:numPr>
          <w:ilvl w:val="0"/>
          <w:numId w:val="31"/>
        </w:numPr>
        <w:spacing w:before="120" w:after="120"/>
        <w:rPr>
          <w:rFonts w:asciiTheme="majorHAnsi" w:hAnsiTheme="majorHAnsi"/>
        </w:rPr>
      </w:pPr>
      <w:r w:rsidRPr="00525A1D">
        <w:rPr>
          <w:rFonts w:asciiTheme="majorHAnsi" w:hAnsiTheme="majorHAnsi"/>
        </w:rPr>
        <w:t xml:space="preserve">establish clear, measurable, and actionable goals for improvement; </w:t>
      </w:r>
    </w:p>
    <w:p w:rsidR="00525A1D" w:rsidRPr="00525A1D" w:rsidRDefault="00525A1D" w:rsidP="00515635">
      <w:pPr>
        <w:pStyle w:val="ListParagraph"/>
        <w:numPr>
          <w:ilvl w:val="0"/>
          <w:numId w:val="31"/>
        </w:numPr>
        <w:spacing w:before="120" w:after="120"/>
        <w:rPr>
          <w:rFonts w:asciiTheme="majorHAnsi" w:hAnsiTheme="majorHAnsi"/>
        </w:rPr>
      </w:pPr>
      <w:r w:rsidRPr="00525A1D">
        <w:rPr>
          <w:rFonts w:asciiTheme="majorHAnsi" w:hAnsiTheme="majorHAnsi"/>
        </w:rPr>
        <w:t xml:space="preserve">design, test and implement interventions intended to achieve goals; and </w:t>
      </w:r>
    </w:p>
    <w:p w:rsidR="00525A1D" w:rsidRPr="00525A1D" w:rsidRDefault="00525A1D" w:rsidP="00515635">
      <w:pPr>
        <w:pStyle w:val="ListParagraph"/>
        <w:numPr>
          <w:ilvl w:val="0"/>
          <w:numId w:val="31"/>
        </w:numPr>
        <w:spacing w:before="120" w:after="120"/>
        <w:rPr>
          <w:rFonts w:asciiTheme="majorHAnsi" w:hAnsiTheme="majorHAnsi"/>
        </w:rPr>
      </w:pPr>
      <w:r w:rsidRPr="00525A1D">
        <w:rPr>
          <w:rFonts w:asciiTheme="majorHAnsi" w:hAnsiTheme="majorHAnsi"/>
        </w:rPr>
        <w:t xml:space="preserve">measure progress and outcomes in achieving established goals.    </w:t>
      </w:r>
    </w:p>
    <w:p w:rsidR="00525A1D" w:rsidRPr="00525A1D" w:rsidRDefault="00525A1D" w:rsidP="00525A1D">
      <w:pPr>
        <w:rPr>
          <w:rFonts w:asciiTheme="majorHAnsi" w:hAnsiTheme="majorHAnsi"/>
        </w:rPr>
      </w:pPr>
      <w:r w:rsidRPr="00525A1D">
        <w:rPr>
          <w:rFonts w:asciiTheme="majorHAnsi" w:hAnsiTheme="majorHAnsi"/>
        </w:rPr>
        <w:t>Community Collaborative</w:t>
      </w:r>
      <w:r>
        <w:rPr>
          <w:rFonts w:asciiTheme="majorHAnsi" w:hAnsiTheme="majorHAnsi"/>
        </w:rPr>
        <w:t>s</w:t>
      </w:r>
      <w:r w:rsidRPr="00525A1D">
        <w:rPr>
          <w:rFonts w:asciiTheme="majorHAnsi" w:hAnsiTheme="majorHAnsi"/>
        </w:rPr>
        <w:t xml:space="preserve"> will use the Accountable Community for Health (ACH) framework, by addressing the medical and non-medical needs that affect measurement results and outcomes, including social, economic, and behavioral factors. These needs and the impact they have on population health are routinely referred to as the Social Determinants of Health. Interventions may span from focusing on the integration of high-quality medical care, mental health services, substance use treatment, long-term services and supports, and incorporates social services to community-wide primary prevention efforts. </w:t>
      </w:r>
    </w:p>
    <w:p w:rsidR="006E05C6" w:rsidRPr="007678FC" w:rsidRDefault="006E05C6" w:rsidP="006E05C6">
      <w:pPr>
        <w:pStyle w:val="Heading3"/>
      </w:pPr>
      <w:bookmarkStart w:id="50" w:name="_Toc521488572"/>
      <w:r w:rsidRPr="007678FC">
        <w:lastRenderedPageBreak/>
        <w:t>Community Collaboratives</w:t>
      </w:r>
      <w:r>
        <w:t>—Governance</w:t>
      </w:r>
      <w:bookmarkEnd w:id="50"/>
      <w:r>
        <w:t xml:space="preserve"> </w:t>
      </w:r>
    </w:p>
    <w:p w:rsidR="00525A1D" w:rsidRPr="006E05C6" w:rsidRDefault="00525A1D" w:rsidP="006E05C6">
      <w:pPr>
        <w:pStyle w:val="ListParagraph"/>
        <w:rPr>
          <w:rFonts w:asciiTheme="majorHAnsi" w:hAnsiTheme="majorHAnsi"/>
        </w:rPr>
      </w:pPr>
    </w:p>
    <w:p w:rsidR="00525A1D" w:rsidRPr="00525A1D" w:rsidRDefault="00525A1D" w:rsidP="00525A1D">
      <w:pPr>
        <w:rPr>
          <w:rFonts w:asciiTheme="majorHAnsi" w:hAnsiTheme="majorHAnsi"/>
        </w:rPr>
      </w:pPr>
      <w:r w:rsidRPr="00525A1D">
        <w:rPr>
          <w:rFonts w:asciiTheme="majorHAnsi" w:hAnsiTheme="majorHAnsi"/>
        </w:rPr>
        <w:t xml:space="preserve">Based on this breadth of focus, a local governance body has been created in each health service area that is structured to balance the interests and influence of the community and includes representation by medical, social, mental health, long-term support services and public health leaders. The governance body of the Community Collaborative is </w:t>
      </w:r>
      <w:r w:rsidR="00CA0952">
        <w:rPr>
          <w:rFonts w:asciiTheme="majorHAnsi" w:hAnsiTheme="majorHAnsi"/>
        </w:rPr>
        <w:t xml:space="preserve">to be </w:t>
      </w:r>
      <w:r w:rsidRPr="00525A1D">
        <w:rPr>
          <w:rFonts w:asciiTheme="majorHAnsi" w:hAnsiTheme="majorHAnsi"/>
        </w:rPr>
        <w:t>comprised of the senior</w:t>
      </w:r>
      <w:r w:rsidR="008F33A1">
        <w:rPr>
          <w:rFonts w:asciiTheme="majorHAnsi" w:hAnsiTheme="majorHAnsi"/>
        </w:rPr>
        <w:t>-</w:t>
      </w:r>
      <w:r w:rsidRPr="00525A1D">
        <w:rPr>
          <w:rFonts w:asciiTheme="majorHAnsi" w:hAnsiTheme="majorHAnsi"/>
        </w:rPr>
        <w:t>level leaders from the major health service organizations</w:t>
      </w:r>
      <w:r w:rsidR="00CA0952">
        <w:rPr>
          <w:rFonts w:asciiTheme="majorHAnsi" w:hAnsiTheme="majorHAnsi"/>
        </w:rPr>
        <w:t xml:space="preserve"> and other significant community organizations</w:t>
      </w:r>
      <w:r w:rsidRPr="00525A1D">
        <w:rPr>
          <w:rFonts w:asciiTheme="majorHAnsi" w:hAnsiTheme="majorHAnsi"/>
        </w:rPr>
        <w:t xml:space="preserve"> in each health service area and typically includes one of each of the following:</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Hospital CEO or CEO’s designated senior clinical leader from the hospital</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 xml:space="preserve">Federally Qualified Health Center CEO or CEO’s designated senior clinical leader </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Senior clinical leader representing independent primary care practices</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Senior clinical leader representing pediatric practices</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CEO or CEO’s designated senior leader from the home health agency</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CEO or CEO’s designated senior leader from the designated mental health and substance use disorder treatment agency</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CEO or CEO’s designated senior leader from the designated regional housing authority or organization</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 xml:space="preserve">CEO or CEO’s designated senior leader from the area agency on aging </w:t>
      </w:r>
    </w:p>
    <w:p w:rsidR="00AE3199"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Public Health District Director</w:t>
      </w:r>
    </w:p>
    <w:p w:rsidR="00525A1D" w:rsidRPr="00525A1D" w:rsidRDefault="00AE3199" w:rsidP="00515635">
      <w:pPr>
        <w:pStyle w:val="ListParagraph"/>
        <w:numPr>
          <w:ilvl w:val="0"/>
          <w:numId w:val="30"/>
        </w:numPr>
        <w:spacing w:before="120" w:after="120"/>
        <w:rPr>
          <w:rFonts w:asciiTheme="majorHAnsi" w:hAnsiTheme="majorHAnsi"/>
        </w:rPr>
      </w:pPr>
      <w:r>
        <w:rPr>
          <w:rFonts w:asciiTheme="majorHAnsi" w:hAnsiTheme="majorHAnsi"/>
        </w:rPr>
        <w:t>Agency for Human Services (AHS) Field Director</w:t>
      </w:r>
      <w:r w:rsidR="00525A1D" w:rsidRPr="00525A1D">
        <w:rPr>
          <w:rFonts w:asciiTheme="majorHAnsi" w:hAnsiTheme="majorHAnsi"/>
        </w:rPr>
        <w:t xml:space="preserve"> </w:t>
      </w:r>
    </w:p>
    <w:p w:rsidR="00525A1D" w:rsidRPr="00525A1D" w:rsidRDefault="00525A1D" w:rsidP="00515635">
      <w:pPr>
        <w:pStyle w:val="ListParagraph"/>
        <w:numPr>
          <w:ilvl w:val="0"/>
          <w:numId w:val="30"/>
        </w:numPr>
        <w:spacing w:before="120" w:after="120"/>
        <w:rPr>
          <w:rFonts w:asciiTheme="majorHAnsi" w:hAnsiTheme="majorHAnsi"/>
        </w:rPr>
      </w:pPr>
      <w:r w:rsidRPr="00525A1D">
        <w:rPr>
          <w:rFonts w:asciiTheme="majorHAnsi" w:hAnsiTheme="majorHAnsi"/>
        </w:rPr>
        <w:t>Blueprint Project Manager</w:t>
      </w:r>
    </w:p>
    <w:p w:rsidR="00525A1D" w:rsidRDefault="00525A1D" w:rsidP="00525A1D">
      <w:pPr>
        <w:rPr>
          <w:rFonts w:asciiTheme="majorHAnsi" w:hAnsiTheme="majorHAnsi"/>
        </w:rPr>
      </w:pPr>
      <w:r w:rsidRPr="00525A1D">
        <w:rPr>
          <w:rFonts w:asciiTheme="majorHAnsi" w:hAnsiTheme="majorHAnsi"/>
        </w:rPr>
        <w:t xml:space="preserve">Additional members may be added if necessary to achieve the goals established by the community. </w:t>
      </w:r>
      <w:r w:rsidR="00E63AE1">
        <w:rPr>
          <w:rFonts w:asciiTheme="majorHAnsi" w:hAnsiTheme="majorHAnsi"/>
        </w:rPr>
        <w:t>AHS local leaders (AHS Field Directors, Public Health District Directors) and Blueprint Project Managers may serve and/or support these activities.</w:t>
      </w:r>
    </w:p>
    <w:p w:rsidR="006E05C6" w:rsidRPr="00525A1D" w:rsidRDefault="006E05C6" w:rsidP="00525A1D">
      <w:pPr>
        <w:rPr>
          <w:rFonts w:asciiTheme="majorHAnsi" w:hAnsiTheme="majorHAnsi"/>
        </w:rPr>
      </w:pPr>
    </w:p>
    <w:p w:rsidR="00525A1D" w:rsidRPr="00525A1D" w:rsidRDefault="00525A1D" w:rsidP="00992576">
      <w:r w:rsidRPr="00525A1D">
        <w:rPr>
          <w:rFonts w:asciiTheme="majorHAnsi" w:hAnsiTheme="majorHAnsi"/>
        </w:rPr>
        <w:t xml:space="preserve">The governing body works across organizational boundaries to assess the outcomes in the Health Service Area, compares outcomes to state population health and ACO goals in a community health needs assessment, establishes local goals, monitors progress towards those goals, establishes a plan and workgroups to achieve the goals, allocates financial and human resources from individual organizations to achieve collective outcomes, and jointly seeks funding and support for local projects.  </w:t>
      </w:r>
      <w:r w:rsidR="00685DB3" w:rsidRPr="00697CC7">
        <w:t xml:space="preserve">The Blueprint Project Manager shall facilitate Community Collaborative meetings and workgroups unless a mutually agreed upon alternative is submitted to and approved by the </w:t>
      </w:r>
      <w:r w:rsidR="00AE3199">
        <w:t>State</w:t>
      </w:r>
      <w:r w:rsidR="00992576" w:rsidRPr="00697CC7">
        <w:t xml:space="preserve">. </w:t>
      </w:r>
    </w:p>
    <w:p w:rsidR="00685DB3" w:rsidRDefault="006E05C6" w:rsidP="006E05C6">
      <w:pPr>
        <w:pStyle w:val="Heading3"/>
      </w:pPr>
      <w:bookmarkStart w:id="51" w:name="_Toc521488573"/>
      <w:r>
        <w:t>Community Collaboratives</w:t>
      </w:r>
      <w:r w:rsidR="00525A1D" w:rsidRPr="00525A1D">
        <w:rPr>
          <w:i w:val="0"/>
        </w:rPr>
        <w:t>—</w:t>
      </w:r>
      <w:r w:rsidR="00685DB3">
        <w:t>Workgroups</w:t>
      </w:r>
      <w:bookmarkEnd w:id="51"/>
    </w:p>
    <w:p w:rsidR="00525A1D" w:rsidRDefault="00525A1D" w:rsidP="00685DB3">
      <w:r w:rsidRPr="00685DB3">
        <w:t xml:space="preserve">The governing body establishes project-based workgroups, with representation across community organizations. The workgroups are responsive to the vision established by the governing body and work to design, test, implement and scale interventions intended to achieve the established goals and to measure the outcomes of the interventions.  </w:t>
      </w:r>
    </w:p>
    <w:p w:rsidR="00685DB3" w:rsidRPr="00685DB3" w:rsidRDefault="00685DB3" w:rsidP="00685DB3"/>
    <w:p w:rsidR="00525A1D" w:rsidRPr="00685DB3" w:rsidRDefault="00525A1D" w:rsidP="00685DB3">
      <w:r w:rsidRPr="00685DB3">
        <w:t>The Community Collaborative also provides local oversight and coordination for the current healthcare reform initiatives and investments being made into the local health services areas.</w:t>
      </w:r>
    </w:p>
    <w:p w:rsidR="00A62D49" w:rsidRDefault="00A62D49" w:rsidP="00A62D49">
      <w:pPr>
        <w:rPr>
          <w:rFonts w:cs="Arial"/>
        </w:rPr>
      </w:pPr>
      <w:bookmarkStart w:id="52" w:name="_Hlk521495856"/>
    </w:p>
    <w:p w:rsidR="00685DB3" w:rsidRDefault="00AE3199" w:rsidP="00685DB3">
      <w:r>
        <w:t>The following workgroups are r</w:t>
      </w:r>
      <w:r w:rsidR="00685DB3" w:rsidRPr="00685DB3">
        <w:t xml:space="preserve">equired </w:t>
      </w:r>
      <w:r>
        <w:t xml:space="preserve">in each Community Collaborative unless a mutually agreed upon alternative is approved: </w:t>
      </w:r>
      <w:r w:rsidR="00685DB3" w:rsidRPr="00685DB3">
        <w:t xml:space="preserve">a care coordination team, </w:t>
      </w:r>
      <w:r w:rsidR="00437A47">
        <w:t xml:space="preserve">a primary prevention (such as </w:t>
      </w:r>
      <w:r w:rsidR="00685DB3" w:rsidRPr="00685DB3">
        <w:t>RiseVT/3-4-50</w:t>
      </w:r>
      <w:r w:rsidR="00437A47">
        <w:t>)</w:t>
      </w:r>
      <w:r w:rsidR="00685DB3" w:rsidRPr="00685DB3">
        <w:t xml:space="preserve"> </w:t>
      </w:r>
      <w:r w:rsidR="00825848">
        <w:t>team</w:t>
      </w:r>
      <w:r w:rsidR="00685DB3" w:rsidRPr="00685DB3">
        <w:t xml:space="preserve">, </w:t>
      </w:r>
      <w:r>
        <w:t xml:space="preserve">a </w:t>
      </w:r>
      <w:r w:rsidR="00685DB3" w:rsidRPr="00685DB3">
        <w:t>community-based self-management program team, and a group focusing on clinical quality improvement.</w:t>
      </w:r>
      <w:r>
        <w:t xml:space="preserve"> </w:t>
      </w:r>
    </w:p>
    <w:bookmarkEnd w:id="52"/>
    <w:p w:rsidR="00A62D49" w:rsidRPr="007678FC" w:rsidRDefault="00A62D49" w:rsidP="00A62D49">
      <w:pPr>
        <w:rPr>
          <w:rFonts w:ascii="Times New Roman" w:hAnsi="Times New Roman"/>
        </w:rPr>
      </w:pPr>
    </w:p>
    <w:p w:rsidR="0019320E" w:rsidRDefault="0019320E" w:rsidP="000815EB">
      <w:pPr>
        <w:pStyle w:val="Heading2"/>
      </w:pPr>
      <w:r w:rsidRPr="007678FC">
        <w:t xml:space="preserve">  </w:t>
      </w:r>
      <w:bookmarkStart w:id="53" w:name="_Toc521488574"/>
      <w:bookmarkStart w:id="54" w:name="_Toc419884052"/>
      <w:bookmarkStart w:id="55" w:name="_Toc419884332"/>
      <w:bookmarkStart w:id="56" w:name="_Toc440036726"/>
      <w:r w:rsidRPr="007678FC">
        <w:t>Community Health Team</w:t>
      </w:r>
      <w:bookmarkEnd w:id="53"/>
      <w:r w:rsidRPr="007678FC">
        <w:t xml:space="preserve"> </w:t>
      </w:r>
      <w:bookmarkEnd w:id="54"/>
      <w:bookmarkEnd w:id="55"/>
      <w:bookmarkEnd w:id="56"/>
    </w:p>
    <w:p w:rsidR="00FD7648" w:rsidRPr="00AC4BBE" w:rsidRDefault="00FD7648" w:rsidP="00FD7648">
      <w:pPr>
        <w:spacing w:after="240"/>
        <w:rPr>
          <w:rFonts w:ascii="Times New Roman" w:hAnsi="Times New Roman"/>
        </w:rPr>
      </w:pPr>
      <w:r w:rsidRPr="00AC4BBE">
        <w:rPr>
          <w:rFonts w:ascii="Times New Roman" w:hAnsi="Times New Roman"/>
        </w:rPr>
        <w:t xml:space="preserve">The </w:t>
      </w:r>
      <w:r w:rsidR="006C4D3D">
        <w:rPr>
          <w:rFonts w:ascii="Times New Roman" w:hAnsi="Times New Roman"/>
        </w:rPr>
        <w:t>Administrative Entity</w:t>
      </w:r>
      <w:r w:rsidRPr="00AC4BBE">
        <w:rPr>
          <w:rFonts w:ascii="Times New Roman" w:hAnsi="Times New Roman"/>
        </w:rPr>
        <w:t xml:space="preserve"> shall have primary oversight for the CHT including acting as the fiscal agent for CHT funding received by the insurers, maintaining a community health team plan under the direction of the Community Collaborative, and ensuring the CHT is fully staffed.    </w:t>
      </w:r>
    </w:p>
    <w:p w:rsidR="0045394D" w:rsidRDefault="00FD7648" w:rsidP="0045394D">
      <w:pPr>
        <w:pStyle w:val="Heading3"/>
      </w:pPr>
      <w:bookmarkStart w:id="57" w:name="_Toc521488575"/>
      <w:r w:rsidRPr="00AC4BBE">
        <w:t>Community Health Team Plan</w:t>
      </w:r>
      <w:bookmarkEnd w:id="57"/>
    </w:p>
    <w:p w:rsidR="00FD7648" w:rsidRPr="009F14E4" w:rsidRDefault="00FD7648" w:rsidP="00FD7648">
      <w:pPr>
        <w:spacing w:after="240"/>
        <w:rPr>
          <w:rFonts w:ascii="Times New Roman" w:hAnsi="Times New Roman"/>
        </w:rPr>
      </w:pPr>
      <w:r w:rsidRPr="00AC4BBE">
        <w:rPr>
          <w:rFonts w:ascii="Times New Roman" w:hAnsi="Times New Roman"/>
        </w:rPr>
        <w:t xml:space="preserve">In consultation with the Community Collaborative advisors, community partners, and participating practices, the Project Manager shall update the CHT staffing design and submit the plan to the State </w:t>
      </w:r>
      <w:r>
        <w:rPr>
          <w:rFonts w:ascii="Times New Roman" w:hAnsi="Times New Roman"/>
        </w:rPr>
        <w:t xml:space="preserve">annually </w:t>
      </w:r>
      <w:r w:rsidRPr="009F14E4">
        <w:rPr>
          <w:rFonts w:ascii="Times New Roman" w:hAnsi="Times New Roman"/>
        </w:rPr>
        <w:t xml:space="preserve">and, after that, </w:t>
      </w:r>
      <w:r>
        <w:rPr>
          <w:rFonts w:ascii="Times New Roman" w:hAnsi="Times New Roman"/>
        </w:rPr>
        <w:t>up</w:t>
      </w:r>
      <w:r w:rsidRPr="009F14E4">
        <w:rPr>
          <w:rFonts w:ascii="Times New Roman" w:hAnsi="Times New Roman"/>
        </w:rPr>
        <w:t>on request by the State and prior to changes in the design. The CHT design plan shall include:</w:t>
      </w:r>
    </w:p>
    <w:p w:rsidR="00FD7648" w:rsidRPr="009F14E4" w:rsidRDefault="00FD7648" w:rsidP="00515635">
      <w:pPr>
        <w:widowControl w:val="0"/>
        <w:numPr>
          <w:ilvl w:val="0"/>
          <w:numId w:val="35"/>
        </w:numPr>
        <w:spacing w:before="120" w:after="240"/>
        <w:contextualSpacing/>
        <w:rPr>
          <w:rFonts w:ascii="Times New Roman" w:hAnsi="Times New Roman"/>
        </w:rPr>
      </w:pPr>
      <w:r w:rsidRPr="009F14E4">
        <w:rPr>
          <w:rFonts w:ascii="Times New Roman" w:hAnsi="Times New Roman"/>
        </w:rPr>
        <w:t>CHT staff, including roles, credentials, and FTEs;</w:t>
      </w:r>
    </w:p>
    <w:p w:rsidR="00FD7648" w:rsidRPr="009F14E4" w:rsidRDefault="00FD7648" w:rsidP="00515635">
      <w:pPr>
        <w:widowControl w:val="0"/>
        <w:numPr>
          <w:ilvl w:val="0"/>
          <w:numId w:val="35"/>
        </w:numPr>
        <w:spacing w:before="120" w:after="240"/>
        <w:contextualSpacing/>
        <w:rPr>
          <w:rFonts w:ascii="Times New Roman" w:hAnsi="Times New Roman"/>
        </w:rPr>
      </w:pPr>
      <w:r w:rsidRPr="009F14E4">
        <w:rPr>
          <w:rFonts w:ascii="Times New Roman" w:hAnsi="Times New Roman"/>
        </w:rPr>
        <w:t>Function of the CHT; and</w:t>
      </w:r>
    </w:p>
    <w:p w:rsidR="00FD7648" w:rsidRPr="009F14E4" w:rsidRDefault="00FD7648" w:rsidP="00515635">
      <w:pPr>
        <w:widowControl w:val="0"/>
        <w:numPr>
          <w:ilvl w:val="0"/>
          <w:numId w:val="35"/>
        </w:numPr>
        <w:spacing w:before="120" w:after="240"/>
        <w:contextualSpacing/>
        <w:rPr>
          <w:rFonts w:ascii="Times New Roman" w:hAnsi="Times New Roman"/>
        </w:rPr>
      </w:pPr>
      <w:r w:rsidRPr="009F14E4">
        <w:rPr>
          <w:rFonts w:ascii="Times New Roman" w:hAnsi="Times New Roman"/>
        </w:rPr>
        <w:t>Detailed budget comprised of any and all administrative, operational, and personnel costs, as well as investments in kind.</w:t>
      </w:r>
    </w:p>
    <w:p w:rsidR="00FD7648" w:rsidRPr="009F14E4" w:rsidRDefault="00FD7648" w:rsidP="00FD7648">
      <w:pPr>
        <w:spacing w:after="240"/>
        <w:ind w:left="720"/>
        <w:contextualSpacing/>
        <w:rPr>
          <w:rFonts w:ascii="Times New Roman" w:hAnsi="Times New Roman"/>
        </w:rPr>
      </w:pPr>
    </w:p>
    <w:p w:rsidR="00FD7648" w:rsidRPr="009F14E4" w:rsidRDefault="00FD7648" w:rsidP="00FD7648">
      <w:pPr>
        <w:spacing w:after="240"/>
        <w:rPr>
          <w:rFonts w:ascii="Times New Roman" w:hAnsi="Times New Roman"/>
        </w:rPr>
      </w:pPr>
      <w:r w:rsidRPr="009F14E4">
        <w:rPr>
          <w:rFonts w:ascii="Times New Roman" w:hAnsi="Times New Roman"/>
        </w:rPr>
        <w:t>The CHT design plan shall be made available and presented to the Community Collaborative governing body and committees at least annually. Alternately, the Community Collaborative governing body may elect to appoint a CHT design subcommittee.</w:t>
      </w:r>
    </w:p>
    <w:p w:rsidR="0045394D" w:rsidRDefault="00E3469B" w:rsidP="0045394D">
      <w:pPr>
        <w:pStyle w:val="Heading3"/>
      </w:pPr>
      <w:bookmarkStart w:id="58" w:name="_Toc521488576"/>
      <w:r w:rsidRPr="009F14E4">
        <w:t>Community Health Team Budget</w:t>
      </w:r>
      <w:bookmarkEnd w:id="58"/>
      <w:r w:rsidRPr="009F14E4">
        <w:t xml:space="preserve"> </w:t>
      </w:r>
    </w:p>
    <w:p w:rsidR="00E3469B" w:rsidRPr="009F14E4" w:rsidRDefault="00E3469B" w:rsidP="00E3469B">
      <w:pPr>
        <w:spacing w:after="240"/>
        <w:rPr>
          <w:rFonts w:ascii="Times New Roman" w:hAnsi="Times New Roman"/>
        </w:rPr>
      </w:pPr>
      <w:r w:rsidRPr="009F14E4">
        <w:rPr>
          <w:rFonts w:ascii="Times New Roman" w:hAnsi="Times New Roman"/>
        </w:rPr>
        <w:t>The Project Manager shall maintain an active budget for CHT staffing and operations, including the ratio and actual expenses of clinical time to administrative cost, and shall share this budget via the Community Collaborative forums to obtain community agreement on the CHT staffing plan and the intended allocation of available resources and funding. This budget shall be provided to the State and shall be available to the Community Collaborative</w:t>
      </w:r>
      <w:r w:rsidR="00DE5593">
        <w:rPr>
          <w:rFonts w:ascii="Times New Roman" w:hAnsi="Times New Roman"/>
        </w:rPr>
        <w:t>, allowing for appropriate measures to protect employee privacy</w:t>
      </w:r>
      <w:r w:rsidRPr="009F14E4">
        <w:rPr>
          <w:rFonts w:ascii="Times New Roman" w:hAnsi="Times New Roman"/>
        </w:rPr>
        <w:t xml:space="preserve">. </w:t>
      </w:r>
    </w:p>
    <w:p w:rsidR="0045394D" w:rsidRDefault="00E3469B" w:rsidP="0045394D">
      <w:pPr>
        <w:pStyle w:val="Heading3"/>
        <w:rPr>
          <w:rFonts w:ascii="Times New Roman" w:hAnsi="Times New Roman"/>
        </w:rPr>
      </w:pPr>
      <w:bookmarkStart w:id="59" w:name="_Toc521488577"/>
      <w:r w:rsidRPr="0045394D">
        <w:t>Community Health Team Evaluation</w:t>
      </w:r>
      <w:r w:rsidRPr="009F14E4">
        <w:rPr>
          <w:rFonts w:ascii="Times New Roman" w:hAnsi="Times New Roman"/>
        </w:rPr>
        <w:t>.</w:t>
      </w:r>
      <w:bookmarkEnd w:id="59"/>
      <w:r w:rsidRPr="009F14E4">
        <w:rPr>
          <w:rFonts w:ascii="Times New Roman" w:hAnsi="Times New Roman"/>
        </w:rPr>
        <w:t xml:space="preserve"> </w:t>
      </w:r>
    </w:p>
    <w:p w:rsidR="00E3469B" w:rsidRPr="009B1A8C" w:rsidRDefault="00E3469B" w:rsidP="00E3469B">
      <w:pPr>
        <w:spacing w:after="240"/>
        <w:rPr>
          <w:rFonts w:ascii="Times New Roman" w:hAnsi="Times New Roman"/>
        </w:rPr>
      </w:pPr>
      <w:r w:rsidRPr="009F14E4">
        <w:rPr>
          <w:rFonts w:ascii="Times New Roman" w:hAnsi="Times New Roman"/>
        </w:rPr>
        <w:t xml:space="preserve">The </w:t>
      </w:r>
      <w:r w:rsidR="006C4D3D">
        <w:rPr>
          <w:rFonts w:ascii="Times New Roman" w:hAnsi="Times New Roman"/>
        </w:rPr>
        <w:t>Administrative Entity</w:t>
      </w:r>
      <w:r w:rsidRPr="009F14E4">
        <w:rPr>
          <w:rFonts w:ascii="Times New Roman" w:hAnsi="Times New Roman"/>
        </w:rPr>
        <w:t xml:space="preserve"> shall evaluate the effectiveness of the current CHT model using qualitative and quantitative methods for obtaining provider, consumer, and community stakeholder feedback. </w:t>
      </w:r>
      <w:r w:rsidR="0091710A">
        <w:rPr>
          <w:rFonts w:ascii="Times New Roman" w:hAnsi="Times New Roman"/>
        </w:rPr>
        <w:t xml:space="preserve">This evaluation will identify training needs and expected skills of CHT staff members. </w:t>
      </w:r>
      <w:r w:rsidRPr="009F14E4">
        <w:rPr>
          <w:rFonts w:ascii="Times New Roman" w:hAnsi="Times New Roman"/>
        </w:rPr>
        <w:t xml:space="preserve">The </w:t>
      </w:r>
      <w:r w:rsidR="006C4D3D">
        <w:rPr>
          <w:rFonts w:ascii="Times New Roman" w:hAnsi="Times New Roman"/>
        </w:rPr>
        <w:t>Administrative Entity</w:t>
      </w:r>
      <w:r w:rsidRPr="009F14E4">
        <w:rPr>
          <w:rFonts w:ascii="Times New Roman" w:hAnsi="Times New Roman"/>
        </w:rPr>
        <w:t xml:space="preserve"> shall develop a mechanism for CHT communication back to primary care providers to</w:t>
      </w:r>
      <w:r>
        <w:rPr>
          <w:rFonts w:ascii="Times New Roman" w:hAnsi="Times New Roman"/>
        </w:rPr>
        <w:t xml:space="preserve"> monitor</w:t>
      </w:r>
      <w:r w:rsidRPr="009B1A8C">
        <w:rPr>
          <w:rFonts w:ascii="Times New Roman" w:hAnsi="Times New Roman"/>
        </w:rPr>
        <w:t xml:space="preserve"> the status and resolution of referrals (e.g., documentation in the electronic health record). </w:t>
      </w:r>
    </w:p>
    <w:p w:rsidR="0045394D" w:rsidRDefault="0045394D" w:rsidP="00E3469B">
      <w:pPr>
        <w:spacing w:after="240"/>
        <w:rPr>
          <w:rFonts w:ascii="Times New Roman" w:hAnsi="Times New Roman"/>
        </w:rPr>
      </w:pPr>
    </w:p>
    <w:p w:rsidR="0045394D" w:rsidRDefault="0045394D" w:rsidP="0045394D">
      <w:pPr>
        <w:pStyle w:val="Heading3"/>
      </w:pPr>
      <w:bookmarkStart w:id="60" w:name="_Toc521488578"/>
      <w:r>
        <w:lastRenderedPageBreak/>
        <w:t>Community Health Team Staffing</w:t>
      </w:r>
      <w:bookmarkEnd w:id="60"/>
    </w:p>
    <w:p w:rsidR="00E3469B" w:rsidRPr="009B1A8C" w:rsidRDefault="00E3469B" w:rsidP="00E3469B">
      <w:pPr>
        <w:spacing w:after="240"/>
        <w:rPr>
          <w:rFonts w:ascii="Times New Roman" w:hAnsi="Times New Roman"/>
          <w:b/>
        </w:rPr>
      </w:pPr>
      <w:r w:rsidRPr="009B1A8C">
        <w:rPr>
          <w:rFonts w:ascii="Times New Roman" w:hAnsi="Times New Roman"/>
        </w:rPr>
        <w:t xml:space="preserve">The </w:t>
      </w:r>
      <w:r w:rsidR="006C4D3D">
        <w:rPr>
          <w:rFonts w:ascii="Times New Roman" w:hAnsi="Times New Roman"/>
        </w:rPr>
        <w:t>Administrative Entity</w:t>
      </w:r>
      <w:r w:rsidRPr="009B1A8C">
        <w:rPr>
          <w:rFonts w:ascii="Times New Roman" w:hAnsi="Times New Roman"/>
        </w:rPr>
        <w:t xml:space="preserve"> shall have primary oversight implementing the CHT staffing plan.</w:t>
      </w:r>
    </w:p>
    <w:p w:rsidR="00E3469B" w:rsidRPr="009B1A8C" w:rsidRDefault="00E3469B" w:rsidP="00E3469B">
      <w:pPr>
        <w:spacing w:after="240"/>
        <w:rPr>
          <w:rFonts w:ascii="Times New Roman" w:hAnsi="Times New Roman"/>
        </w:rPr>
      </w:pPr>
      <w:r w:rsidRPr="009B1A8C">
        <w:rPr>
          <w:rFonts w:ascii="Times New Roman" w:hAnsi="Times New Roman"/>
        </w:rPr>
        <w:t xml:space="preserve">The </w:t>
      </w:r>
      <w:r w:rsidR="006C4D3D">
        <w:rPr>
          <w:rFonts w:ascii="Times New Roman" w:hAnsi="Times New Roman"/>
        </w:rPr>
        <w:t>Administrative Entity</w:t>
      </w:r>
      <w:r w:rsidRPr="009B1A8C">
        <w:rPr>
          <w:rFonts w:ascii="Times New Roman" w:hAnsi="Times New Roman"/>
        </w:rPr>
        <w:t xml:space="preserve"> shall provide CHT staff based on the CHT staffing plan.</w:t>
      </w:r>
    </w:p>
    <w:p w:rsidR="00E3469B" w:rsidRPr="009B1A8C" w:rsidRDefault="00E3469B" w:rsidP="00E3469B">
      <w:pPr>
        <w:spacing w:after="240"/>
        <w:rPr>
          <w:rFonts w:ascii="Times New Roman" w:hAnsi="Times New Roman"/>
        </w:rPr>
      </w:pPr>
      <w:r w:rsidRPr="009B1A8C">
        <w:rPr>
          <w:rFonts w:ascii="Times New Roman" w:hAnsi="Times New Roman"/>
        </w:rPr>
        <w:t xml:space="preserve">The </w:t>
      </w:r>
      <w:r w:rsidR="006C4D3D">
        <w:rPr>
          <w:rFonts w:ascii="Times New Roman" w:hAnsi="Times New Roman"/>
        </w:rPr>
        <w:t>Administrative Entity</w:t>
      </w:r>
      <w:r w:rsidRPr="009B1A8C">
        <w:rPr>
          <w:rFonts w:ascii="Times New Roman" w:hAnsi="Times New Roman"/>
        </w:rPr>
        <w:t xml:space="preserve"> shall provide organizational support for the operations of the CHTs, including ongoing mentoring and supervision of team members and the CHT Leader. The CHT Leader shall be responsible for the day-to-day supervision of CHT staff members. </w:t>
      </w:r>
    </w:p>
    <w:p w:rsidR="00E3469B" w:rsidRPr="009B1A8C" w:rsidRDefault="00E3469B" w:rsidP="00E3469B">
      <w:pPr>
        <w:spacing w:after="240"/>
        <w:rPr>
          <w:rFonts w:ascii="Times New Roman" w:hAnsi="Times New Roman"/>
        </w:rPr>
      </w:pPr>
      <w:r w:rsidRPr="009B1A8C">
        <w:rPr>
          <w:rFonts w:ascii="Times New Roman" w:hAnsi="Times New Roman"/>
        </w:rPr>
        <w:t xml:space="preserve">The </w:t>
      </w:r>
      <w:r w:rsidR="006C4D3D">
        <w:rPr>
          <w:rFonts w:ascii="Times New Roman" w:hAnsi="Times New Roman"/>
        </w:rPr>
        <w:t>Administrative Entity</w:t>
      </w:r>
      <w:r w:rsidRPr="009B1A8C">
        <w:rPr>
          <w:rFonts w:ascii="Times New Roman" w:hAnsi="Times New Roman"/>
        </w:rPr>
        <w:t xml:space="preserve">, under the direction of the Community Collaborative, shall direct CHT staff to work on activities outlined in all levels of care in the population health model. </w:t>
      </w:r>
    </w:p>
    <w:p w:rsidR="00E3469B" w:rsidRPr="009B1A8C" w:rsidRDefault="00E3469B" w:rsidP="00E3469B">
      <w:pPr>
        <w:spacing w:after="240"/>
        <w:rPr>
          <w:rFonts w:ascii="Times New Roman" w:hAnsi="Times New Roman"/>
        </w:rPr>
      </w:pPr>
      <w:bookmarkStart w:id="61" w:name="_Hlk517254705"/>
      <w:r w:rsidRPr="009B1A8C">
        <w:rPr>
          <w:rFonts w:ascii="Times New Roman" w:hAnsi="Times New Roman"/>
        </w:rPr>
        <w:t xml:space="preserve">The </w:t>
      </w:r>
      <w:r w:rsidR="006C4D3D">
        <w:rPr>
          <w:rFonts w:ascii="Times New Roman" w:hAnsi="Times New Roman"/>
        </w:rPr>
        <w:t>Administrative Entity</w:t>
      </w:r>
      <w:r w:rsidRPr="009B1A8C">
        <w:rPr>
          <w:rFonts w:ascii="Times New Roman" w:hAnsi="Times New Roman"/>
        </w:rPr>
        <w:t xml:space="preserve"> shall work collaboratively with the State and the ACOs</w:t>
      </w:r>
      <w:r>
        <w:rPr>
          <w:rFonts w:ascii="Times New Roman" w:hAnsi="Times New Roman"/>
        </w:rPr>
        <w:t>,</w:t>
      </w:r>
      <w:r w:rsidRPr="009B1A8C">
        <w:rPr>
          <w:rFonts w:ascii="Times New Roman" w:hAnsi="Times New Roman"/>
        </w:rPr>
        <w:t xml:space="preserve"> to prepare and launch new initiatives and service layers as they arise. </w:t>
      </w:r>
      <w:r>
        <w:rPr>
          <w:rFonts w:ascii="Times New Roman" w:hAnsi="Times New Roman"/>
        </w:rPr>
        <w:t>T</w:t>
      </w:r>
      <w:r w:rsidRPr="009B1A8C">
        <w:rPr>
          <w:rFonts w:ascii="Times New Roman" w:hAnsi="Times New Roman"/>
        </w:rPr>
        <w:t>he Project Manager shall coordinate recruitment and hiring or subcontracting of those resources according to State direction.</w:t>
      </w:r>
    </w:p>
    <w:bookmarkEnd w:id="61"/>
    <w:p w:rsidR="00E3469B" w:rsidRDefault="00E3469B" w:rsidP="00E3469B">
      <w:pPr>
        <w:spacing w:after="240"/>
        <w:rPr>
          <w:rFonts w:ascii="Times New Roman" w:hAnsi="Times New Roman"/>
        </w:rPr>
      </w:pPr>
      <w:r w:rsidRPr="009B1A8C">
        <w:rPr>
          <w:rFonts w:ascii="Times New Roman" w:hAnsi="Times New Roman"/>
        </w:rPr>
        <w:t xml:space="preserve">Community </w:t>
      </w:r>
      <w:r>
        <w:rPr>
          <w:rFonts w:ascii="Times New Roman" w:hAnsi="Times New Roman"/>
        </w:rPr>
        <w:t>H</w:t>
      </w:r>
      <w:r w:rsidRPr="009B1A8C">
        <w:rPr>
          <w:rFonts w:ascii="Times New Roman" w:hAnsi="Times New Roman"/>
        </w:rPr>
        <w:t xml:space="preserve">ealth </w:t>
      </w:r>
      <w:r>
        <w:rPr>
          <w:rFonts w:ascii="Times New Roman" w:hAnsi="Times New Roman"/>
        </w:rPr>
        <w:t>T</w:t>
      </w:r>
      <w:r w:rsidRPr="009B1A8C">
        <w:rPr>
          <w:rFonts w:ascii="Times New Roman" w:hAnsi="Times New Roman"/>
        </w:rPr>
        <w:t xml:space="preserve">eam vacancies, including those created when additional CHT funding becomes available through new initiatives, </w:t>
      </w:r>
      <w:r>
        <w:rPr>
          <w:rFonts w:ascii="Times New Roman" w:hAnsi="Times New Roman"/>
        </w:rPr>
        <w:t>shall</w:t>
      </w:r>
      <w:r w:rsidRPr="009B1A8C">
        <w:rPr>
          <w:rFonts w:ascii="Times New Roman" w:hAnsi="Times New Roman"/>
        </w:rPr>
        <w:t xml:space="preserve"> be filled within 60 days. </w:t>
      </w:r>
    </w:p>
    <w:p w:rsidR="0045394D" w:rsidRDefault="00FD7648" w:rsidP="0045394D">
      <w:pPr>
        <w:pStyle w:val="Heading3"/>
      </w:pPr>
      <w:bookmarkStart w:id="62" w:name="_Toc521488579"/>
      <w:r w:rsidRPr="007527DD">
        <w:t>Community Health Team Integration</w:t>
      </w:r>
      <w:bookmarkEnd w:id="62"/>
      <w:r w:rsidRPr="007527DD">
        <w:t xml:space="preserve"> </w:t>
      </w:r>
    </w:p>
    <w:p w:rsidR="00FD7648" w:rsidRPr="007527DD" w:rsidRDefault="00FD7648" w:rsidP="00FD7648">
      <w:pPr>
        <w:spacing w:after="200" w:line="276" w:lineRule="auto"/>
        <w:rPr>
          <w:rFonts w:ascii="Times New Roman" w:hAnsi="Times New Roman"/>
          <w:b/>
        </w:rPr>
      </w:pPr>
      <w:r w:rsidRPr="007527DD">
        <w:rPr>
          <w:rFonts w:ascii="Times New Roman" w:hAnsi="Times New Roman"/>
        </w:rPr>
        <w:t xml:space="preserve">The </w:t>
      </w:r>
      <w:r w:rsidR="006C4D3D">
        <w:rPr>
          <w:rFonts w:ascii="Times New Roman" w:hAnsi="Times New Roman"/>
        </w:rPr>
        <w:t>Administrative Entity</w:t>
      </w:r>
      <w:r w:rsidRPr="007527DD">
        <w:rPr>
          <w:rFonts w:ascii="Times New Roman" w:hAnsi="Times New Roman"/>
        </w:rPr>
        <w:t xml:space="preserve"> shall ensure coordination of services and activities and collaboration between the CHT staff (supported by the multi-insurer payments) and additional service layers and care managers for targeted populations, such as:</w:t>
      </w:r>
    </w:p>
    <w:p w:rsidR="00FD7648" w:rsidRPr="007527DD" w:rsidRDefault="00FD7648" w:rsidP="00515635">
      <w:pPr>
        <w:widowControl w:val="0"/>
        <w:numPr>
          <w:ilvl w:val="0"/>
          <w:numId w:val="39"/>
        </w:numPr>
        <w:spacing w:before="120" w:after="240"/>
        <w:contextualSpacing/>
        <w:rPr>
          <w:rFonts w:ascii="Times New Roman" w:hAnsi="Times New Roman"/>
        </w:rPr>
      </w:pPr>
      <w:r w:rsidRPr="007527DD">
        <w:rPr>
          <w:rFonts w:ascii="Times New Roman" w:hAnsi="Times New Roman"/>
        </w:rPr>
        <w:t>Medication Assisted Treatment (MAT) licensed, registered nurses and licensed, Master’s prepared substance use disorder or mental health counselors for office-based treatment of opioid use disorder;</w:t>
      </w:r>
    </w:p>
    <w:p w:rsidR="00FD7648" w:rsidRPr="007527DD" w:rsidRDefault="00FD7648" w:rsidP="00515635">
      <w:pPr>
        <w:widowControl w:val="0"/>
        <w:numPr>
          <w:ilvl w:val="0"/>
          <w:numId w:val="39"/>
        </w:numPr>
        <w:spacing w:before="120" w:after="240"/>
        <w:contextualSpacing/>
        <w:rPr>
          <w:rFonts w:ascii="Times New Roman" w:hAnsi="Times New Roman"/>
        </w:rPr>
      </w:pPr>
      <w:r w:rsidRPr="007527DD">
        <w:rPr>
          <w:rFonts w:ascii="Times New Roman" w:hAnsi="Times New Roman"/>
        </w:rPr>
        <w:t>Women’s Health Initiative (WHI) licensed, Master’s prepared mental health professionals to work in WHI practices;</w:t>
      </w:r>
    </w:p>
    <w:p w:rsidR="00FD7648" w:rsidRPr="007527DD" w:rsidRDefault="00FD7648" w:rsidP="00515635">
      <w:pPr>
        <w:widowControl w:val="0"/>
        <w:numPr>
          <w:ilvl w:val="0"/>
          <w:numId w:val="39"/>
        </w:numPr>
        <w:spacing w:before="120" w:after="240"/>
        <w:contextualSpacing/>
        <w:rPr>
          <w:rFonts w:ascii="Times New Roman" w:hAnsi="Times New Roman"/>
        </w:rPr>
      </w:pPr>
      <w:r w:rsidRPr="007527DD">
        <w:rPr>
          <w:rFonts w:ascii="Times New Roman" w:hAnsi="Times New Roman"/>
        </w:rPr>
        <w:t>Support and Services at Home (SASH) nurses and care coordinators for Medicare beneficiaries living in congregate housing or in the community for assistance with aging safely at home;</w:t>
      </w:r>
    </w:p>
    <w:p w:rsidR="00FD7648" w:rsidRPr="007527DD" w:rsidRDefault="00FD7648" w:rsidP="00515635">
      <w:pPr>
        <w:widowControl w:val="0"/>
        <w:numPr>
          <w:ilvl w:val="0"/>
          <w:numId w:val="39"/>
        </w:numPr>
        <w:spacing w:before="120" w:after="240"/>
        <w:contextualSpacing/>
        <w:rPr>
          <w:rFonts w:ascii="Times New Roman" w:hAnsi="Times New Roman"/>
        </w:rPr>
      </w:pPr>
      <w:r w:rsidRPr="007527DD">
        <w:rPr>
          <w:rFonts w:ascii="Times New Roman" w:hAnsi="Times New Roman"/>
        </w:rPr>
        <w:t xml:space="preserve">Vermont Chronic Care Initiative (VCCI) nurse case managers for intensive, short-term treatment of </w:t>
      </w:r>
      <w:r w:rsidR="00552E59">
        <w:rPr>
          <w:rFonts w:ascii="Times New Roman" w:hAnsi="Times New Roman"/>
        </w:rPr>
        <w:t>certain</w:t>
      </w:r>
      <w:r w:rsidRPr="007527DD">
        <w:rPr>
          <w:rFonts w:ascii="Times New Roman" w:hAnsi="Times New Roman"/>
        </w:rPr>
        <w:t xml:space="preserve"> Medicaid patients; </w:t>
      </w:r>
    </w:p>
    <w:p w:rsidR="00095AA1" w:rsidRDefault="00FD7648" w:rsidP="00095AA1">
      <w:pPr>
        <w:widowControl w:val="0"/>
        <w:numPr>
          <w:ilvl w:val="0"/>
          <w:numId w:val="39"/>
        </w:numPr>
        <w:spacing w:before="120" w:after="240"/>
        <w:contextualSpacing/>
        <w:rPr>
          <w:rFonts w:ascii="Times New Roman" w:hAnsi="Times New Roman"/>
        </w:rPr>
      </w:pPr>
      <w:r w:rsidRPr="007527DD">
        <w:rPr>
          <w:rFonts w:ascii="Times New Roman" w:hAnsi="Times New Roman"/>
        </w:rPr>
        <w:t>Commercial payer case managers</w:t>
      </w:r>
      <w:r w:rsidR="00095AA1">
        <w:rPr>
          <w:rFonts w:ascii="Times New Roman" w:hAnsi="Times New Roman"/>
        </w:rPr>
        <w:t>;</w:t>
      </w:r>
    </w:p>
    <w:p w:rsidR="00095AA1" w:rsidRDefault="00095AA1" w:rsidP="00095AA1">
      <w:pPr>
        <w:widowControl w:val="0"/>
        <w:numPr>
          <w:ilvl w:val="0"/>
          <w:numId w:val="39"/>
        </w:numPr>
        <w:spacing w:before="120" w:after="240"/>
        <w:contextualSpacing/>
        <w:rPr>
          <w:rFonts w:ascii="Times New Roman" w:hAnsi="Times New Roman"/>
        </w:rPr>
      </w:pPr>
      <w:r>
        <w:rPr>
          <w:rFonts w:ascii="Times New Roman" w:hAnsi="Times New Roman"/>
        </w:rPr>
        <w:t xml:space="preserve">Recovery Centers; </w:t>
      </w:r>
    </w:p>
    <w:p w:rsidR="00095AA1" w:rsidRDefault="00095AA1" w:rsidP="00095AA1">
      <w:pPr>
        <w:widowControl w:val="0"/>
        <w:numPr>
          <w:ilvl w:val="0"/>
          <w:numId w:val="39"/>
        </w:numPr>
        <w:spacing w:before="120" w:after="240"/>
        <w:contextualSpacing/>
        <w:rPr>
          <w:rFonts w:ascii="Times New Roman" w:hAnsi="Times New Roman"/>
        </w:rPr>
      </w:pPr>
      <w:r>
        <w:rPr>
          <w:rFonts w:ascii="Times New Roman" w:hAnsi="Times New Roman"/>
        </w:rPr>
        <w:t>Agency of Human Services; and</w:t>
      </w:r>
    </w:p>
    <w:p w:rsidR="00FD7648" w:rsidRDefault="00095AA1" w:rsidP="00095AA1">
      <w:pPr>
        <w:widowControl w:val="0"/>
        <w:numPr>
          <w:ilvl w:val="0"/>
          <w:numId w:val="39"/>
        </w:numPr>
        <w:spacing w:before="120" w:after="240"/>
        <w:contextualSpacing/>
        <w:rPr>
          <w:rFonts w:ascii="Times New Roman" w:hAnsi="Times New Roman"/>
        </w:rPr>
      </w:pPr>
      <w:r>
        <w:rPr>
          <w:rFonts w:ascii="Times New Roman" w:hAnsi="Times New Roman"/>
        </w:rPr>
        <w:t>Designated Agencies.</w:t>
      </w:r>
    </w:p>
    <w:p w:rsidR="00095AA1" w:rsidRPr="00095AA1" w:rsidRDefault="00095AA1" w:rsidP="00095AA1">
      <w:pPr>
        <w:widowControl w:val="0"/>
        <w:spacing w:before="120" w:after="240"/>
        <w:ind w:left="720"/>
        <w:contextualSpacing/>
        <w:rPr>
          <w:rFonts w:ascii="Times New Roman" w:hAnsi="Times New Roman"/>
        </w:rPr>
      </w:pPr>
    </w:p>
    <w:p w:rsidR="00FD7648" w:rsidRPr="007527DD" w:rsidRDefault="00FD7648" w:rsidP="00FD7648">
      <w:pPr>
        <w:spacing w:after="240"/>
        <w:rPr>
          <w:rFonts w:ascii="Times New Roman" w:hAnsi="Times New Roman"/>
        </w:rPr>
      </w:pPr>
      <w:r w:rsidRPr="007527DD">
        <w:rPr>
          <w:rFonts w:ascii="Times New Roman" w:hAnsi="Times New Roman"/>
        </w:rPr>
        <w:t>Coordination of services and activities and collaboration between the CHT staff shall involve:</w:t>
      </w:r>
    </w:p>
    <w:p w:rsidR="00FD7648" w:rsidRPr="007527DD" w:rsidRDefault="00FD7648" w:rsidP="00515635">
      <w:pPr>
        <w:widowControl w:val="0"/>
        <w:numPr>
          <w:ilvl w:val="0"/>
          <w:numId w:val="38"/>
        </w:numPr>
        <w:spacing w:before="120" w:after="240"/>
        <w:contextualSpacing/>
        <w:rPr>
          <w:rFonts w:ascii="Times New Roman" w:hAnsi="Times New Roman"/>
        </w:rPr>
      </w:pPr>
      <w:r w:rsidRPr="007527DD">
        <w:rPr>
          <w:rFonts w:ascii="Times New Roman" w:hAnsi="Times New Roman"/>
        </w:rPr>
        <w:t>Identification of case managers in the Health Service Area for different populations of patients;</w:t>
      </w:r>
      <w:r>
        <w:rPr>
          <w:rFonts w:ascii="Times New Roman" w:hAnsi="Times New Roman"/>
        </w:rPr>
        <w:t xml:space="preserve"> </w:t>
      </w:r>
    </w:p>
    <w:p w:rsidR="00FD7648" w:rsidRPr="007527DD" w:rsidRDefault="00FD7648" w:rsidP="00515635">
      <w:pPr>
        <w:widowControl w:val="0"/>
        <w:numPr>
          <w:ilvl w:val="0"/>
          <w:numId w:val="38"/>
        </w:numPr>
        <w:spacing w:before="120" w:after="240"/>
        <w:contextualSpacing/>
        <w:rPr>
          <w:rFonts w:ascii="Times New Roman" w:hAnsi="Times New Roman"/>
        </w:rPr>
      </w:pPr>
      <w:r w:rsidRPr="007527DD">
        <w:rPr>
          <w:rFonts w:ascii="Times New Roman" w:hAnsi="Times New Roman"/>
        </w:rPr>
        <w:t>Determination of lead care coordinator for shared patients;</w:t>
      </w:r>
    </w:p>
    <w:p w:rsidR="00FD7648" w:rsidRPr="007527DD" w:rsidRDefault="00FD7648" w:rsidP="00515635">
      <w:pPr>
        <w:widowControl w:val="0"/>
        <w:numPr>
          <w:ilvl w:val="0"/>
          <w:numId w:val="38"/>
        </w:numPr>
        <w:spacing w:before="120" w:after="240"/>
        <w:contextualSpacing/>
        <w:rPr>
          <w:rFonts w:ascii="Times New Roman" w:hAnsi="Times New Roman"/>
        </w:rPr>
      </w:pPr>
      <w:r w:rsidRPr="007527DD">
        <w:rPr>
          <w:rFonts w:ascii="Times New Roman" w:hAnsi="Times New Roman"/>
        </w:rPr>
        <w:t>Shared care plans and agreements for managing shared patients;</w:t>
      </w:r>
    </w:p>
    <w:p w:rsidR="00FD7648" w:rsidRPr="007527DD" w:rsidRDefault="00FD7648" w:rsidP="00515635">
      <w:pPr>
        <w:widowControl w:val="0"/>
        <w:numPr>
          <w:ilvl w:val="0"/>
          <w:numId w:val="38"/>
        </w:numPr>
        <w:spacing w:before="120" w:after="240"/>
        <w:contextualSpacing/>
        <w:rPr>
          <w:rFonts w:ascii="Times New Roman" w:hAnsi="Times New Roman"/>
        </w:rPr>
      </w:pPr>
      <w:r w:rsidRPr="007527DD">
        <w:rPr>
          <w:rFonts w:ascii="Times New Roman" w:hAnsi="Times New Roman"/>
        </w:rPr>
        <w:t>Reciprocal referral protocols and methods of communication; and</w:t>
      </w:r>
    </w:p>
    <w:p w:rsidR="00FD7648" w:rsidRPr="007527DD" w:rsidRDefault="00FD7648" w:rsidP="00515635">
      <w:pPr>
        <w:widowControl w:val="0"/>
        <w:numPr>
          <w:ilvl w:val="0"/>
          <w:numId w:val="38"/>
        </w:numPr>
        <w:spacing w:before="120" w:after="240"/>
        <w:contextualSpacing/>
        <w:rPr>
          <w:rFonts w:ascii="Times New Roman" w:hAnsi="Times New Roman"/>
        </w:rPr>
      </w:pPr>
      <w:r w:rsidRPr="007527DD">
        <w:rPr>
          <w:rFonts w:ascii="Times New Roman" w:hAnsi="Times New Roman"/>
        </w:rPr>
        <w:lastRenderedPageBreak/>
        <w:t>Mechanisms for risk stratification and algorithms for determining which care managers will provide care for different patient populations and at what level of acuity.</w:t>
      </w:r>
    </w:p>
    <w:p w:rsidR="00FD7648" w:rsidRPr="007527DD" w:rsidRDefault="00FD7648" w:rsidP="00FD7648">
      <w:pPr>
        <w:spacing w:after="240"/>
        <w:rPr>
          <w:rFonts w:ascii="Times New Roman" w:hAnsi="Times New Roman"/>
        </w:rPr>
      </w:pPr>
    </w:p>
    <w:p w:rsidR="00FD7648" w:rsidRPr="007527DD" w:rsidRDefault="00FD7648" w:rsidP="00FD7648">
      <w:pPr>
        <w:spacing w:after="240"/>
        <w:rPr>
          <w:rFonts w:ascii="Times New Roman" w:hAnsi="Times New Roman"/>
        </w:rPr>
      </w:pPr>
      <w:r w:rsidRPr="007527DD">
        <w:rPr>
          <w:rFonts w:ascii="Times New Roman" w:hAnsi="Times New Roman"/>
        </w:rPr>
        <w:t>The Project Manager shall document and report to the State:</w:t>
      </w:r>
    </w:p>
    <w:p w:rsidR="00FD7648" w:rsidRPr="007527DD" w:rsidRDefault="00FD7648" w:rsidP="00515635">
      <w:pPr>
        <w:widowControl w:val="0"/>
        <w:numPr>
          <w:ilvl w:val="0"/>
          <w:numId w:val="37"/>
        </w:numPr>
        <w:spacing w:before="120" w:after="240"/>
        <w:contextualSpacing/>
        <w:rPr>
          <w:rFonts w:ascii="Times New Roman" w:hAnsi="Times New Roman"/>
        </w:rPr>
      </w:pPr>
      <w:r w:rsidRPr="007527DD">
        <w:rPr>
          <w:rFonts w:ascii="Times New Roman" w:hAnsi="Times New Roman"/>
        </w:rPr>
        <w:t xml:space="preserve">Respective roles of the Core CHT and other care management providers, including ACO resources such as Clinical Consultants; </w:t>
      </w:r>
    </w:p>
    <w:p w:rsidR="00FD7648" w:rsidRPr="007527DD" w:rsidRDefault="00FD7648" w:rsidP="00515635">
      <w:pPr>
        <w:widowControl w:val="0"/>
        <w:numPr>
          <w:ilvl w:val="0"/>
          <w:numId w:val="37"/>
        </w:numPr>
        <w:spacing w:before="120" w:after="240"/>
        <w:contextualSpacing/>
        <w:rPr>
          <w:rFonts w:ascii="Times New Roman" w:hAnsi="Times New Roman"/>
        </w:rPr>
      </w:pPr>
      <w:r w:rsidRPr="007527DD">
        <w:rPr>
          <w:rFonts w:ascii="Times New Roman" w:hAnsi="Times New Roman"/>
        </w:rPr>
        <w:t>CHT model evaluation results and specific plans to address gaps;</w:t>
      </w:r>
    </w:p>
    <w:p w:rsidR="00FD7648" w:rsidRPr="007527DD" w:rsidRDefault="00FD7648" w:rsidP="00515635">
      <w:pPr>
        <w:widowControl w:val="0"/>
        <w:numPr>
          <w:ilvl w:val="0"/>
          <w:numId w:val="37"/>
        </w:numPr>
        <w:spacing w:before="120" w:after="240"/>
        <w:contextualSpacing/>
        <w:rPr>
          <w:rFonts w:ascii="Times New Roman" w:hAnsi="Times New Roman"/>
        </w:rPr>
      </w:pPr>
      <w:r w:rsidRPr="007527DD">
        <w:rPr>
          <w:rFonts w:ascii="Times New Roman" w:hAnsi="Times New Roman"/>
        </w:rPr>
        <w:t>Alignment with the care coordination model;</w:t>
      </w:r>
    </w:p>
    <w:p w:rsidR="00FD7648" w:rsidRPr="007527DD" w:rsidRDefault="00FD7648" w:rsidP="00515635">
      <w:pPr>
        <w:widowControl w:val="0"/>
        <w:numPr>
          <w:ilvl w:val="0"/>
          <w:numId w:val="36"/>
        </w:numPr>
        <w:spacing w:before="120" w:after="120"/>
        <w:rPr>
          <w:rFonts w:ascii="Times New Roman" w:hAnsi="Times New Roman"/>
        </w:rPr>
      </w:pPr>
      <w:r w:rsidRPr="007527DD">
        <w:rPr>
          <w:rFonts w:ascii="Times New Roman" w:hAnsi="Times New Roman"/>
        </w:rPr>
        <w:t>Clear referral protocols and methods of communication between area care management programs; and</w:t>
      </w:r>
    </w:p>
    <w:p w:rsidR="00FD7648" w:rsidRPr="007527DD" w:rsidRDefault="00FD7648" w:rsidP="00515635">
      <w:pPr>
        <w:widowControl w:val="0"/>
        <w:numPr>
          <w:ilvl w:val="0"/>
          <w:numId w:val="36"/>
        </w:numPr>
        <w:spacing w:after="120"/>
        <w:rPr>
          <w:rFonts w:ascii="Times New Roman" w:hAnsi="Times New Roman"/>
        </w:rPr>
      </w:pPr>
      <w:r w:rsidRPr="007527DD">
        <w:rPr>
          <w:rFonts w:ascii="Times New Roman" w:hAnsi="Times New Roman"/>
        </w:rPr>
        <w:t>Well-coordinated and non-duplicative services for participants.</w:t>
      </w:r>
    </w:p>
    <w:p w:rsidR="00FD7648" w:rsidRDefault="005F6875" w:rsidP="005F6875">
      <w:pPr>
        <w:pStyle w:val="Heading3"/>
      </w:pPr>
      <w:bookmarkStart w:id="63" w:name="_Toc521488580"/>
      <w:r>
        <w:t>Medication-Assisted Treatment</w:t>
      </w:r>
      <w:bookmarkEnd w:id="63"/>
    </w:p>
    <w:p w:rsidR="005F6875" w:rsidRDefault="005F6875" w:rsidP="005F6875">
      <w:r>
        <w:t>Vermont’s Hub and Spoke program for treating opioid use disorder has garnered national attention for its comprehensive approach to providing Medication Assisted Treatment (MAT). Hub and Spoke integrates programs providing higher levels of care (opioid treatment programs, called “Hubs”) with programs offering treatment in general medical settings (office-based opioid treatment programs, called “Spokes”).</w:t>
      </w:r>
    </w:p>
    <w:p w:rsidR="005F6875" w:rsidRDefault="005F6875" w:rsidP="005F6875"/>
    <w:p w:rsidR="005F6875" w:rsidRDefault="005F6875" w:rsidP="005F6875">
      <w:r>
        <w:t xml:space="preserve">The Blueprint, in collaboration with the Vermont Department of Health, offers training and support for practices to implement MAT protocols with the help of Blueprint Practice Facilitators and learning collaboratives designed to advance prescriber and team knowledge and confidence in the provision of care. These opportunities provide Spoke nurses and counselors with the support necessary to implement best practices, design workflows in advance of seeing patients for MAT, set up program protocols, and begin the process of providing team-based, patient-centered care for Vermonters with opioid use disorder. </w:t>
      </w:r>
    </w:p>
    <w:p w:rsidR="005F6875" w:rsidRPr="005F6875" w:rsidRDefault="005F6875" w:rsidP="005F6875"/>
    <w:p w:rsidR="00E3469B" w:rsidRDefault="005F6875" w:rsidP="005F6875">
      <w:pPr>
        <w:pStyle w:val="Heading3"/>
      </w:pPr>
      <w:bookmarkStart w:id="64" w:name="_Toc521488581"/>
      <w:r>
        <w:t>Women’s Health Initiative</w:t>
      </w:r>
      <w:bookmarkEnd w:id="64"/>
    </w:p>
    <w:p w:rsidR="005F6875" w:rsidRPr="005F6875" w:rsidRDefault="005F6875" w:rsidP="005F6875">
      <w:r w:rsidRPr="00F704B5">
        <w:rPr>
          <w:rFonts w:asciiTheme="majorHAnsi" w:hAnsiTheme="majorHAnsi"/>
        </w:rPr>
        <w:t xml:space="preserve">The Women’s Health Initiative (WHI) extends the Vermont Blueprint for Health to </w:t>
      </w:r>
      <w:r>
        <w:rPr>
          <w:rFonts w:asciiTheme="majorHAnsi" w:hAnsiTheme="majorHAnsi"/>
        </w:rPr>
        <w:t>obstetrics</w:t>
      </w:r>
      <w:r w:rsidRPr="00F704B5">
        <w:rPr>
          <w:rFonts w:asciiTheme="majorHAnsi" w:hAnsiTheme="majorHAnsi"/>
        </w:rPr>
        <w:t xml:space="preserve">, gynecology, family planning and nurse midwifery practices.  </w:t>
      </w:r>
      <w:r>
        <w:rPr>
          <w:rFonts w:asciiTheme="majorHAnsi" w:hAnsiTheme="majorHAnsi"/>
        </w:rPr>
        <w:t>Because many</w:t>
      </w:r>
      <w:r w:rsidRPr="00F704B5">
        <w:rPr>
          <w:rFonts w:asciiTheme="majorHAnsi" w:hAnsiTheme="majorHAnsi"/>
        </w:rPr>
        <w:t xml:space="preserve"> women receive </w:t>
      </w:r>
      <w:r>
        <w:rPr>
          <w:rFonts w:asciiTheme="majorHAnsi" w:hAnsiTheme="majorHAnsi"/>
        </w:rPr>
        <w:t xml:space="preserve">substantial preventive care services </w:t>
      </w:r>
      <w:r w:rsidRPr="00F704B5">
        <w:rPr>
          <w:rFonts w:asciiTheme="majorHAnsi" w:hAnsiTheme="majorHAnsi"/>
        </w:rPr>
        <w:t>in these practices</w:t>
      </w:r>
      <w:r>
        <w:rPr>
          <w:rFonts w:asciiTheme="majorHAnsi" w:hAnsiTheme="majorHAnsi"/>
        </w:rPr>
        <w:t>, there is an opportunity to increase access to additional services to improve health outcomes for women and children, as well the potential to reduce unintended pregnancies</w:t>
      </w:r>
      <w:r w:rsidRPr="00F704B5">
        <w:rPr>
          <w:rFonts w:asciiTheme="majorHAnsi" w:hAnsiTheme="majorHAnsi"/>
        </w:rPr>
        <w:t xml:space="preserve">.  </w:t>
      </w:r>
      <w:r>
        <w:rPr>
          <w:rFonts w:asciiTheme="majorHAnsi" w:hAnsiTheme="majorHAnsi"/>
        </w:rPr>
        <w:t>The</w:t>
      </w:r>
      <w:r w:rsidRPr="00F704B5">
        <w:rPr>
          <w:rFonts w:asciiTheme="majorHAnsi" w:hAnsiTheme="majorHAnsi"/>
        </w:rPr>
        <w:t xml:space="preserve"> WHI promotes psychosocial screening, </w:t>
      </w:r>
      <w:r>
        <w:rPr>
          <w:rFonts w:asciiTheme="majorHAnsi" w:hAnsiTheme="majorHAnsi"/>
        </w:rPr>
        <w:t>supports brief in-office intervention, connects patients with community supports,</w:t>
      </w:r>
      <w:r w:rsidRPr="00F704B5">
        <w:rPr>
          <w:rFonts w:asciiTheme="majorHAnsi" w:hAnsiTheme="majorHAnsi"/>
        </w:rPr>
        <w:t xml:space="preserve"> and offers enhanced payment</w:t>
      </w:r>
      <w:r>
        <w:rPr>
          <w:rFonts w:asciiTheme="majorHAnsi" w:hAnsiTheme="majorHAnsi"/>
        </w:rPr>
        <w:t>s</w:t>
      </w:r>
      <w:r w:rsidRPr="00F704B5">
        <w:rPr>
          <w:rFonts w:asciiTheme="majorHAnsi" w:hAnsiTheme="majorHAnsi"/>
        </w:rPr>
        <w:t xml:space="preserve"> to participating practices </w:t>
      </w:r>
      <w:r w:rsidR="00501D2F">
        <w:rPr>
          <w:rFonts w:asciiTheme="majorHAnsi" w:hAnsiTheme="majorHAnsi"/>
        </w:rPr>
        <w:t xml:space="preserve">to </w:t>
      </w:r>
      <w:r>
        <w:rPr>
          <w:rFonts w:asciiTheme="majorHAnsi" w:hAnsiTheme="majorHAnsi"/>
        </w:rPr>
        <w:t>achieve these goals</w:t>
      </w:r>
      <w:r w:rsidRPr="00F704B5">
        <w:rPr>
          <w:rFonts w:asciiTheme="majorHAnsi" w:hAnsiTheme="majorHAnsi"/>
        </w:rPr>
        <w:t>.</w:t>
      </w:r>
      <w:r>
        <w:rPr>
          <w:rFonts w:asciiTheme="majorHAnsi" w:hAnsiTheme="majorHAnsi"/>
        </w:rPr>
        <w:t xml:space="preserve"> (See Section </w:t>
      </w:r>
      <w:r w:rsidR="00501D2F">
        <w:rPr>
          <w:rFonts w:asciiTheme="majorHAnsi" w:hAnsiTheme="majorHAnsi"/>
        </w:rPr>
        <w:t>6)</w:t>
      </w:r>
    </w:p>
    <w:p w:rsidR="00437A47" w:rsidRDefault="003B4AAA" w:rsidP="000815EB">
      <w:pPr>
        <w:pStyle w:val="Heading2"/>
      </w:pPr>
      <w:bookmarkStart w:id="65" w:name="_Toc521488582"/>
      <w:r>
        <w:t>Blueprint Pro</w:t>
      </w:r>
      <w:r w:rsidR="002C1672">
        <w:t>gram</w:t>
      </w:r>
      <w:r>
        <w:t xml:space="preserve"> Management</w:t>
      </w:r>
      <w:bookmarkEnd w:id="65"/>
    </w:p>
    <w:p w:rsidR="00437A47" w:rsidRPr="00437A47" w:rsidRDefault="00437A47" w:rsidP="00437A47">
      <w:r>
        <w:t xml:space="preserve">Each Administrative Entity hires a Blueprint Project Manager to oversee the Blueprint activities in an HSA. </w:t>
      </w:r>
      <w:r w:rsidRPr="00437A47">
        <w:t xml:space="preserve">The Project Manager </w:t>
      </w:r>
      <w:r>
        <w:t>will</w:t>
      </w:r>
      <w:r w:rsidRPr="00437A47">
        <w:t xml:space="preserve"> be the primary local contact responsible for </w:t>
      </w:r>
      <w:r w:rsidRPr="00437A47">
        <w:lastRenderedPageBreak/>
        <w:t xml:space="preserve">management of all programmatic and administrative components of the agreement. If more than one individual is sharing this role, a single point of contact </w:t>
      </w:r>
      <w:r>
        <w:t xml:space="preserve">will </w:t>
      </w:r>
      <w:r w:rsidRPr="00437A47">
        <w:t xml:space="preserve">be named. </w:t>
      </w:r>
    </w:p>
    <w:p w:rsidR="003B4AAA" w:rsidRPr="003B4AAA" w:rsidRDefault="003B4AAA" w:rsidP="003B4AAA"/>
    <w:p w:rsidR="003B4AAA" w:rsidRDefault="009F279E" w:rsidP="003B4AAA">
      <w:pPr>
        <w:pStyle w:val="Heading3"/>
      </w:pPr>
      <w:r w:rsidRPr="003B4AAA">
        <w:t xml:space="preserve">  </w:t>
      </w:r>
      <w:bookmarkStart w:id="66" w:name="_Toc521488583"/>
      <w:r w:rsidR="003B4AAA" w:rsidRPr="003B4AAA">
        <w:t>Program Management</w:t>
      </w:r>
      <w:r w:rsidR="003B4AAA">
        <w:t>—</w:t>
      </w:r>
      <w:r w:rsidR="003B4AAA" w:rsidRPr="003B4AAA">
        <w:t>Program Monitoring</w:t>
      </w:r>
      <w:bookmarkEnd w:id="66"/>
    </w:p>
    <w:p w:rsidR="003B4AAA" w:rsidRDefault="003B4AAA" w:rsidP="003B4AAA">
      <w:r w:rsidRPr="003B4AAA">
        <w:t xml:space="preserve">The Project Manager </w:t>
      </w:r>
      <w:r w:rsidR="00437A47">
        <w:t>will</w:t>
      </w:r>
      <w:r w:rsidRPr="003B4AAA">
        <w:t xml:space="preserve"> meet regularly with a Blueprint Assistant Director, or a designee of the Blueprint Executive Director, either in-person or via telephone call, according to a schedule established by the State. The Project Manager </w:t>
      </w:r>
      <w:r w:rsidR="00437A47">
        <w:t>will</w:t>
      </w:r>
      <w:r w:rsidRPr="003B4AAA">
        <w:t xml:space="preserve"> prepare and submit to the State </w:t>
      </w:r>
      <w:r w:rsidR="00AD777B">
        <w:t>regular reports describing</w:t>
      </w:r>
      <w:r w:rsidRPr="003B4AAA">
        <w:t xml:space="preserve"> program progress, successes, and challenges. The State reserves the right to request updates on specific activities within the Health Service Area either in advance of, or during, the regularly scheduled meetings.</w:t>
      </w:r>
    </w:p>
    <w:p w:rsidR="003B4AAA" w:rsidRDefault="003B4AAA" w:rsidP="003B4AAA"/>
    <w:p w:rsidR="003B4AAA" w:rsidRDefault="003B4AAA" w:rsidP="003B4AAA">
      <w:pPr>
        <w:pStyle w:val="Heading3"/>
      </w:pPr>
      <w:bookmarkStart w:id="67" w:name="_Toc521488584"/>
      <w:r w:rsidRPr="003B4AAA">
        <w:t>Program Management</w:t>
      </w:r>
      <w:r>
        <w:t>—State Meetings</w:t>
      </w:r>
      <w:bookmarkEnd w:id="67"/>
    </w:p>
    <w:p w:rsidR="003B4AAA" w:rsidRPr="00FC7D35" w:rsidRDefault="003B4AAA" w:rsidP="004D1D93">
      <w:r w:rsidRPr="00FC7D35">
        <w:t xml:space="preserve">The Project Manager </w:t>
      </w:r>
      <w:r w:rsidR="00437A47">
        <w:t>will</w:t>
      </w:r>
      <w:r w:rsidRPr="00FC7D35">
        <w:t xml:space="preserve"> participate </w:t>
      </w:r>
      <w:r w:rsidR="001F0B06">
        <w:t>at</w:t>
      </w:r>
      <w:r>
        <w:t xml:space="preserve"> </w:t>
      </w:r>
      <w:r w:rsidRPr="00FC7D35">
        <w:t xml:space="preserve">regularly scheduled statewide program activities and meetings including, but not limited to: </w:t>
      </w:r>
    </w:p>
    <w:p w:rsidR="003B4AAA" w:rsidRPr="00FC7D35" w:rsidRDefault="003B4AAA" w:rsidP="00515635">
      <w:pPr>
        <w:pStyle w:val="ListParagraph"/>
        <w:numPr>
          <w:ilvl w:val="0"/>
          <w:numId w:val="34"/>
        </w:numPr>
      </w:pPr>
      <w:r w:rsidRPr="00FC7D35">
        <w:t>All Field Team meetings</w:t>
      </w:r>
      <w:r w:rsidR="001F0B06">
        <w:t xml:space="preserve"> (in person)</w:t>
      </w:r>
      <w:r w:rsidRPr="00FC7D35">
        <w:t>;</w:t>
      </w:r>
    </w:p>
    <w:p w:rsidR="003B4AAA" w:rsidRPr="00FC7D35" w:rsidRDefault="003B4AAA" w:rsidP="00515635">
      <w:pPr>
        <w:pStyle w:val="ListParagraph"/>
        <w:numPr>
          <w:ilvl w:val="0"/>
          <w:numId w:val="34"/>
        </w:numPr>
      </w:pPr>
      <w:r w:rsidRPr="00FC7D35">
        <w:t>Blueprint Expansion Design and Evaluation Committee meetings (often combined with Executive Committee meetings);</w:t>
      </w:r>
    </w:p>
    <w:p w:rsidR="003B4AAA" w:rsidRPr="00FC7D35" w:rsidRDefault="003B4AAA" w:rsidP="00515635">
      <w:pPr>
        <w:pStyle w:val="ListParagraph"/>
        <w:numPr>
          <w:ilvl w:val="0"/>
          <w:numId w:val="34"/>
        </w:numPr>
      </w:pPr>
      <w:r w:rsidRPr="00FC7D35">
        <w:t>Blueprint Payment Implementation Work Group meetings;</w:t>
      </w:r>
    </w:p>
    <w:p w:rsidR="003B4AAA" w:rsidRPr="00FC7D35" w:rsidRDefault="003B4AAA" w:rsidP="00515635">
      <w:pPr>
        <w:pStyle w:val="ListParagraph"/>
        <w:numPr>
          <w:ilvl w:val="0"/>
          <w:numId w:val="34"/>
        </w:numPr>
      </w:pPr>
      <w:r w:rsidRPr="00FC7D35">
        <w:t>Project Manager meetings</w:t>
      </w:r>
      <w:r w:rsidR="00437A47">
        <w:t>;</w:t>
      </w:r>
    </w:p>
    <w:p w:rsidR="003B4AAA" w:rsidRPr="00FC7D35" w:rsidRDefault="003B4AAA" w:rsidP="00515635">
      <w:pPr>
        <w:pStyle w:val="ListParagraph"/>
        <w:numPr>
          <w:ilvl w:val="0"/>
          <w:numId w:val="34"/>
        </w:numPr>
      </w:pPr>
      <w:r w:rsidRPr="00FC7D35">
        <w:t>ACO Clinical Committees;</w:t>
      </w:r>
    </w:p>
    <w:p w:rsidR="003B4AAA" w:rsidRPr="00FC7D35" w:rsidRDefault="003B4AAA" w:rsidP="00515635">
      <w:pPr>
        <w:pStyle w:val="ListParagraph"/>
        <w:numPr>
          <w:ilvl w:val="0"/>
          <w:numId w:val="34"/>
        </w:numPr>
      </w:pPr>
      <w:r w:rsidRPr="00FC7D35">
        <w:t>Care Coordination Core Team meetings;</w:t>
      </w:r>
    </w:p>
    <w:p w:rsidR="003B4AAA" w:rsidRPr="00FC7D35" w:rsidRDefault="003B4AAA" w:rsidP="00515635">
      <w:pPr>
        <w:pStyle w:val="ListParagraph"/>
        <w:numPr>
          <w:ilvl w:val="0"/>
          <w:numId w:val="34"/>
        </w:numPr>
      </w:pPr>
      <w:r w:rsidRPr="00FC7D35">
        <w:t>Information Technology meetings;</w:t>
      </w:r>
    </w:p>
    <w:p w:rsidR="003B4AAA" w:rsidRPr="00FC7D35" w:rsidRDefault="003B4AAA" w:rsidP="00515635">
      <w:pPr>
        <w:pStyle w:val="ListParagraph"/>
        <w:numPr>
          <w:ilvl w:val="0"/>
          <w:numId w:val="34"/>
        </w:numPr>
      </w:pPr>
      <w:r w:rsidRPr="00FC7D35">
        <w:t>The Blueprint Annual Conference</w:t>
      </w:r>
      <w:r w:rsidR="001F0B06">
        <w:t xml:space="preserve"> (in person)</w:t>
      </w:r>
      <w:r w:rsidRPr="00FC7D35">
        <w:t>; and</w:t>
      </w:r>
    </w:p>
    <w:p w:rsidR="003B4AAA" w:rsidRPr="003B4AAA" w:rsidRDefault="003B4AAA" w:rsidP="00515635">
      <w:pPr>
        <w:pStyle w:val="ListParagraph"/>
        <w:numPr>
          <w:ilvl w:val="0"/>
          <w:numId w:val="34"/>
        </w:numPr>
      </w:pPr>
      <w:r w:rsidRPr="003B4AAA">
        <w:t>Self-Management Regional Coordinator meetings (when needed).</w:t>
      </w:r>
    </w:p>
    <w:p w:rsidR="00D96684" w:rsidRDefault="00D96684" w:rsidP="00D96684">
      <w:pPr>
        <w:pStyle w:val="Heading3"/>
      </w:pPr>
      <w:bookmarkStart w:id="68" w:name="_Toc521488585"/>
      <w:r>
        <w:t>Program Management—Community Collaboratives</w:t>
      </w:r>
      <w:bookmarkEnd w:id="68"/>
    </w:p>
    <w:p w:rsidR="00D96684" w:rsidRPr="00D96684" w:rsidRDefault="00D96684" w:rsidP="00D96684">
      <w:r>
        <w:t>The Project Manager role includes the facilitation of the Comm</w:t>
      </w:r>
      <w:r w:rsidR="00FB1A22">
        <w:t xml:space="preserve">unity </w:t>
      </w:r>
      <w:r>
        <w:t>Collaborative</w:t>
      </w:r>
      <w:r w:rsidR="00292FF2">
        <w:t>/A</w:t>
      </w:r>
      <w:r w:rsidR="00FB1A22">
        <w:t>CH</w:t>
      </w:r>
      <w:r>
        <w:t xml:space="preserve">. </w:t>
      </w:r>
      <w:r w:rsidRPr="00D96684">
        <w:t>Community Collaborative meetings include both the governance body and required health service area specific workgroups. Facilitation includes recruiting relevant committee members, working with committee chairs, if applicable, and members to set agendas, recording decisions made during meetings, monitoring progress on work that will be completed by members between meetings, including what will be completed, by whom and by when, following-up with members between meetings to ensure progress is being attained, identifying and preparing presenters prior to the meetings, ensuring effective communication between members during the meetings, and reporting the progress of the Community Collaborative to the committee and workgroup members.</w:t>
      </w:r>
    </w:p>
    <w:p w:rsidR="004D1D93" w:rsidRDefault="004D1D93" w:rsidP="004D1D93">
      <w:pPr>
        <w:pStyle w:val="Heading3"/>
      </w:pPr>
      <w:bookmarkStart w:id="69" w:name="_Toc521488586"/>
      <w:r>
        <w:t xml:space="preserve">Program Management—Practice </w:t>
      </w:r>
      <w:r w:rsidRPr="00026648">
        <w:t>Outreach</w:t>
      </w:r>
      <w:r>
        <w:t xml:space="preserve"> and Participation in Health Reform</w:t>
      </w:r>
      <w:bookmarkEnd w:id="69"/>
    </w:p>
    <w:p w:rsidR="004D1D93" w:rsidRPr="004D1D93" w:rsidRDefault="004D1D93" w:rsidP="004D1D93">
      <w:r w:rsidRPr="004D1D93">
        <w:t xml:space="preserve">The Project Manager shall maintain ongoing relationships with all primary care (internal medicine, general medicine, geriatric medicine, family medicine), women’s health, and substance use disorder treatment practices within the health service area, as evidenced by at least annual outreach to non-Blueprint practices and ongoing outreach to Blueprint </w:t>
      </w:r>
      <w:r w:rsidRPr="004D1D93">
        <w:lastRenderedPageBreak/>
        <w:t>practices, in order to encourage their participation in the broad set of health reform initiatives (PCMH, CHT, MAT, WHI, self-management, and ACO) and Community Collaborative activities. Annual outreach shall include an in-person meeting with each practice, or if the practice refuses to meet, then documentation of an electronic or paper memo.</w:t>
      </w:r>
    </w:p>
    <w:p w:rsidR="004D1D93" w:rsidRDefault="004D1D93" w:rsidP="004D1D93">
      <w:pPr>
        <w:rPr>
          <w:rFonts w:ascii="Times New Roman" w:hAnsi="Times New Roman"/>
        </w:rPr>
      </w:pPr>
    </w:p>
    <w:p w:rsidR="004D1D93" w:rsidRPr="004D1D93" w:rsidRDefault="004D1D93" w:rsidP="004D1D93">
      <w:pPr>
        <w:rPr>
          <w:rFonts w:asciiTheme="majorHAnsi" w:hAnsiTheme="majorHAnsi"/>
        </w:rPr>
      </w:pPr>
      <w:r w:rsidRPr="004D1D93">
        <w:rPr>
          <w:rFonts w:asciiTheme="majorHAnsi" w:hAnsiTheme="majorHAnsi"/>
        </w:rPr>
        <w:t>The Project Manager shall:</w:t>
      </w:r>
    </w:p>
    <w:p w:rsidR="004D1D93" w:rsidRPr="004D1D93" w:rsidRDefault="004D1D93" w:rsidP="00515635">
      <w:pPr>
        <w:pStyle w:val="ListParagraph"/>
        <w:numPr>
          <w:ilvl w:val="0"/>
          <w:numId w:val="33"/>
        </w:numPr>
        <w:rPr>
          <w:rFonts w:asciiTheme="majorHAnsi" w:hAnsiTheme="majorHAnsi"/>
        </w:rPr>
      </w:pPr>
      <w:r w:rsidRPr="004D1D93">
        <w:rPr>
          <w:rFonts w:asciiTheme="majorHAnsi" w:hAnsiTheme="majorHAnsi"/>
        </w:rPr>
        <w:t>Assign, if the QI facilitator is hired by the administrative entity, each practice a QI facilitator. If the QI facilitator is contracted by the State, work with the State to make the assignments;</w:t>
      </w:r>
    </w:p>
    <w:p w:rsidR="004D1D93" w:rsidRPr="004D1D93" w:rsidRDefault="004D1D93" w:rsidP="00515635">
      <w:pPr>
        <w:pStyle w:val="ListParagraph"/>
        <w:numPr>
          <w:ilvl w:val="0"/>
          <w:numId w:val="33"/>
        </w:numPr>
        <w:rPr>
          <w:rFonts w:asciiTheme="majorHAnsi" w:hAnsiTheme="majorHAnsi"/>
        </w:rPr>
      </w:pPr>
      <w:r w:rsidRPr="004D1D93">
        <w:rPr>
          <w:rFonts w:asciiTheme="majorHAnsi" w:hAnsiTheme="majorHAnsi"/>
        </w:rPr>
        <w:t>Integrate CHT staff into practice workflows;</w:t>
      </w:r>
    </w:p>
    <w:p w:rsidR="004D1D93" w:rsidRPr="004D1D93" w:rsidRDefault="004D1D93" w:rsidP="00515635">
      <w:pPr>
        <w:pStyle w:val="ListParagraph"/>
        <w:numPr>
          <w:ilvl w:val="0"/>
          <w:numId w:val="33"/>
        </w:numPr>
        <w:rPr>
          <w:rFonts w:asciiTheme="majorHAnsi" w:hAnsiTheme="majorHAnsi"/>
        </w:rPr>
      </w:pPr>
      <w:r w:rsidRPr="004D1D93">
        <w:rPr>
          <w:rFonts w:asciiTheme="majorHAnsi" w:hAnsiTheme="majorHAnsi"/>
        </w:rPr>
        <w:t>Invite practices to join the appropriate Community Collaborative workgroups;</w:t>
      </w:r>
    </w:p>
    <w:p w:rsidR="004D1D93" w:rsidRPr="004D1D93" w:rsidRDefault="004D1D93" w:rsidP="00515635">
      <w:pPr>
        <w:pStyle w:val="ListParagraph"/>
        <w:numPr>
          <w:ilvl w:val="0"/>
          <w:numId w:val="33"/>
        </w:numPr>
        <w:rPr>
          <w:rFonts w:asciiTheme="majorHAnsi" w:hAnsiTheme="majorHAnsi"/>
        </w:rPr>
      </w:pPr>
      <w:r w:rsidRPr="004D1D93">
        <w:rPr>
          <w:rFonts w:asciiTheme="majorHAnsi" w:hAnsiTheme="majorHAnsi"/>
        </w:rPr>
        <w:t>Keep practices informed of Community Collaborative workgroup projects; and</w:t>
      </w:r>
    </w:p>
    <w:p w:rsidR="004D1D93" w:rsidRPr="004D1D93" w:rsidRDefault="004D1D93" w:rsidP="00515635">
      <w:pPr>
        <w:pStyle w:val="ListParagraph"/>
        <w:numPr>
          <w:ilvl w:val="0"/>
          <w:numId w:val="33"/>
        </w:numPr>
        <w:rPr>
          <w:rFonts w:asciiTheme="majorHAnsi" w:hAnsiTheme="majorHAnsi"/>
        </w:rPr>
      </w:pPr>
      <w:r w:rsidRPr="004D1D93">
        <w:rPr>
          <w:rFonts w:asciiTheme="majorHAnsi" w:hAnsiTheme="majorHAnsi"/>
        </w:rPr>
        <w:t>Recruit practices to participate in statewide learning collaboratives and new health reform initiatives.</w:t>
      </w:r>
    </w:p>
    <w:p w:rsidR="004D1D93" w:rsidRDefault="004D1D93" w:rsidP="004D1D93"/>
    <w:p w:rsidR="004D1D93" w:rsidRDefault="004D1D93" w:rsidP="004D1D93">
      <w:r w:rsidRPr="004D1D93">
        <w:t>The Project Manager will monitor the status of each practice’s participation as a patient centered medical home, integration of</w:t>
      </w:r>
      <w:r w:rsidR="005F6875">
        <w:t xml:space="preserve"> the</w:t>
      </w:r>
      <w:r w:rsidRPr="004D1D93">
        <w:t xml:space="preserve"> community health team, participation in ACO and Community Collaborative quality improvement projects, implementation of the care model, medication assisted treatment and</w:t>
      </w:r>
      <w:r w:rsidR="002A5C0D">
        <w:t xml:space="preserve"> the</w:t>
      </w:r>
      <w:r w:rsidRPr="004D1D93">
        <w:t xml:space="preserve"> women’s health initiative. The Project Manager shall report on the status of each practice </w:t>
      </w:r>
      <w:r w:rsidR="002A5C0D">
        <w:t>during</w:t>
      </w:r>
      <w:r w:rsidRPr="004D1D93">
        <w:t xml:space="preserve"> monitoring meetings with the State and ongoing any issues encountered by practices to the State and ACOs as they arise.  </w:t>
      </w:r>
      <w:r w:rsidR="002A5C0D">
        <w:t>The Project Manager will ensure alignment with ACO care coordination activities and requirements, serving as the local point person for communications between local care coordination teams and the ACO care coordination team, and providing project management support as needed for ACO care coordination efforts in the HSA.</w:t>
      </w:r>
    </w:p>
    <w:p w:rsidR="004D1D93" w:rsidRPr="004D1D93" w:rsidRDefault="004D1D93" w:rsidP="004D1D93">
      <w:pPr>
        <w:ind w:left="360"/>
        <w:rPr>
          <w:rFonts w:asciiTheme="majorHAnsi" w:hAnsiTheme="majorHAnsi"/>
        </w:rPr>
      </w:pPr>
    </w:p>
    <w:p w:rsidR="004D1D93" w:rsidRDefault="004D1D93" w:rsidP="004D1D93">
      <w:pPr>
        <w:pStyle w:val="Heading3"/>
      </w:pPr>
      <w:bookmarkStart w:id="70" w:name="_Toc521488587"/>
      <w:r>
        <w:t>Pro</w:t>
      </w:r>
      <w:r w:rsidR="00D96684">
        <w:t>gram</w:t>
      </w:r>
      <w:r>
        <w:t xml:space="preserve"> Management—</w:t>
      </w:r>
      <w:r w:rsidRPr="00026648">
        <w:t>Recruit Participation in Quality Improvement</w:t>
      </w:r>
      <w:bookmarkEnd w:id="70"/>
      <w:r w:rsidRPr="00026648">
        <w:t xml:space="preserve"> </w:t>
      </w:r>
    </w:p>
    <w:p w:rsidR="004D1D93" w:rsidRPr="00026648" w:rsidRDefault="004D1D93" w:rsidP="004D1D93">
      <w:pPr>
        <w:spacing w:after="240"/>
        <w:rPr>
          <w:rFonts w:ascii="Times New Roman" w:hAnsi="Times New Roman"/>
        </w:rPr>
      </w:pPr>
      <w:r w:rsidRPr="00026648">
        <w:rPr>
          <w:rFonts w:ascii="Times New Roman" w:hAnsi="Times New Roman"/>
        </w:rPr>
        <w:t xml:space="preserve">In collaboration with the QI facilitators, the Project Manager will also support primary care practices in implementing quality improvement initiatives by: </w:t>
      </w:r>
    </w:p>
    <w:p w:rsidR="007D2328" w:rsidRDefault="004D1D93" w:rsidP="00515635">
      <w:pPr>
        <w:widowControl w:val="0"/>
        <w:numPr>
          <w:ilvl w:val="0"/>
          <w:numId w:val="32"/>
        </w:numPr>
        <w:spacing w:before="120" w:after="240"/>
        <w:rPr>
          <w:rFonts w:ascii="Times New Roman" w:hAnsi="Times New Roman"/>
        </w:rPr>
      </w:pPr>
      <w:r w:rsidRPr="00026648">
        <w:rPr>
          <w:rFonts w:ascii="Times New Roman" w:hAnsi="Times New Roman"/>
        </w:rPr>
        <w:t xml:space="preserve">Providing access to relevant data reports and interpretation of these reports, such as Blueprint practice and Health Service Area profiles, Emergency Department (ED) use, inpatient admissions, data on trends in hospital readmission rates, population outreach reports, access to lists of patients for each practice, </w:t>
      </w:r>
      <w:r w:rsidR="007D2328" w:rsidRPr="00026648">
        <w:rPr>
          <w:rFonts w:ascii="Times New Roman" w:hAnsi="Times New Roman"/>
        </w:rPr>
        <w:t>and other relevant patient data</w:t>
      </w:r>
      <w:r w:rsidR="007D2328">
        <w:rPr>
          <w:rFonts w:ascii="Times New Roman" w:hAnsi="Times New Roman"/>
        </w:rPr>
        <w:t xml:space="preserve">. </w:t>
      </w:r>
    </w:p>
    <w:p w:rsidR="004D1D93" w:rsidRPr="00026648" w:rsidRDefault="007D2328" w:rsidP="00515635">
      <w:pPr>
        <w:widowControl w:val="0"/>
        <w:numPr>
          <w:ilvl w:val="0"/>
          <w:numId w:val="32"/>
        </w:numPr>
        <w:spacing w:before="120" w:after="240"/>
        <w:rPr>
          <w:rFonts w:ascii="Times New Roman" w:hAnsi="Times New Roman"/>
        </w:rPr>
      </w:pPr>
      <w:r>
        <w:rPr>
          <w:rFonts w:ascii="Times New Roman" w:hAnsi="Times New Roman"/>
        </w:rPr>
        <w:t xml:space="preserve">Evaluating practices’ effective use of ACO analytic resources, such as </w:t>
      </w:r>
      <w:r w:rsidRPr="00026648">
        <w:rPr>
          <w:rFonts w:ascii="Times New Roman" w:hAnsi="Times New Roman"/>
        </w:rPr>
        <w:t xml:space="preserve">ACO reports, </w:t>
      </w:r>
      <w:r w:rsidR="004D1D93" w:rsidRPr="00026648">
        <w:rPr>
          <w:rFonts w:ascii="Times New Roman" w:hAnsi="Times New Roman"/>
        </w:rPr>
        <w:t xml:space="preserve">Workbench One, Care Navigator, other ACO self-serve analytics tools; </w:t>
      </w:r>
    </w:p>
    <w:p w:rsidR="004D1D93" w:rsidRPr="00026648" w:rsidRDefault="004D1D93" w:rsidP="00515635">
      <w:pPr>
        <w:widowControl w:val="0"/>
        <w:numPr>
          <w:ilvl w:val="0"/>
          <w:numId w:val="32"/>
        </w:numPr>
        <w:spacing w:before="120" w:after="240"/>
        <w:rPr>
          <w:rFonts w:ascii="Times New Roman" w:hAnsi="Times New Roman"/>
        </w:rPr>
      </w:pPr>
      <w:r w:rsidRPr="00026648">
        <w:rPr>
          <w:rFonts w:ascii="Times New Roman" w:hAnsi="Times New Roman"/>
        </w:rPr>
        <w:t xml:space="preserve">Reporting at </w:t>
      </w:r>
      <w:r w:rsidR="00792F51">
        <w:rPr>
          <w:rFonts w:ascii="Times New Roman" w:hAnsi="Times New Roman"/>
        </w:rPr>
        <w:t>check-in</w:t>
      </w:r>
      <w:r w:rsidRPr="00026648">
        <w:rPr>
          <w:rFonts w:ascii="Times New Roman" w:hAnsi="Times New Roman"/>
        </w:rPr>
        <w:t xml:space="preserve"> meetings on progress of quality improvement projects between practices, specialists, hospitals, and community organizations based on core clinical measures</w:t>
      </w:r>
      <w:r w:rsidR="007D2328">
        <w:rPr>
          <w:rFonts w:ascii="Times New Roman" w:hAnsi="Times New Roman"/>
        </w:rPr>
        <w:t xml:space="preserve"> and </w:t>
      </w:r>
      <w:r w:rsidRPr="00026648">
        <w:rPr>
          <w:rFonts w:ascii="Times New Roman" w:hAnsi="Times New Roman"/>
        </w:rPr>
        <w:t>State healthcare reform initiatives, including APM measures, ACO clinical priorities, and population health measures;</w:t>
      </w:r>
    </w:p>
    <w:p w:rsidR="004D1D93" w:rsidRPr="00026648" w:rsidRDefault="004D1D93" w:rsidP="00515635">
      <w:pPr>
        <w:widowControl w:val="0"/>
        <w:numPr>
          <w:ilvl w:val="0"/>
          <w:numId w:val="32"/>
        </w:numPr>
        <w:spacing w:before="120" w:after="240"/>
        <w:rPr>
          <w:rFonts w:ascii="Times New Roman" w:hAnsi="Times New Roman"/>
        </w:rPr>
      </w:pPr>
      <w:r w:rsidRPr="00026648">
        <w:rPr>
          <w:rFonts w:ascii="Times New Roman" w:hAnsi="Times New Roman"/>
        </w:rPr>
        <w:t xml:space="preserve">Developing referral processes to Blueprint-sponsored self-management programs into </w:t>
      </w:r>
      <w:r w:rsidRPr="00026648">
        <w:rPr>
          <w:rFonts w:ascii="Times New Roman" w:hAnsi="Times New Roman"/>
        </w:rPr>
        <w:lastRenderedPageBreak/>
        <w:t>primary care and women’s health practice workflows, including a feedback loop back to primary care providers;</w:t>
      </w:r>
    </w:p>
    <w:p w:rsidR="004D1D93" w:rsidRPr="00026648" w:rsidRDefault="004D1D93" w:rsidP="00515635">
      <w:pPr>
        <w:widowControl w:val="0"/>
        <w:numPr>
          <w:ilvl w:val="0"/>
          <w:numId w:val="32"/>
        </w:numPr>
        <w:spacing w:before="120" w:after="240"/>
        <w:rPr>
          <w:rFonts w:ascii="Times New Roman" w:hAnsi="Times New Roman"/>
        </w:rPr>
      </w:pPr>
      <w:r w:rsidRPr="00026648">
        <w:rPr>
          <w:rFonts w:ascii="Times New Roman" w:hAnsi="Times New Roman"/>
        </w:rPr>
        <w:t>Providing education on, and CHT staff support for, empanelment and panel management, such as best practices and technical assistance as needed;</w:t>
      </w:r>
    </w:p>
    <w:p w:rsidR="004D1D93" w:rsidRPr="00026648" w:rsidRDefault="004D1D93" w:rsidP="00515635">
      <w:pPr>
        <w:widowControl w:val="0"/>
        <w:numPr>
          <w:ilvl w:val="0"/>
          <w:numId w:val="32"/>
        </w:numPr>
        <w:spacing w:before="120" w:after="240"/>
        <w:rPr>
          <w:rFonts w:ascii="Times New Roman" w:hAnsi="Times New Roman"/>
        </w:rPr>
      </w:pPr>
      <w:r w:rsidRPr="00026648">
        <w:rPr>
          <w:rFonts w:ascii="Times New Roman" w:hAnsi="Times New Roman"/>
        </w:rPr>
        <w:t>Organizing lear</w:t>
      </w:r>
      <w:r>
        <w:rPr>
          <w:rFonts w:ascii="Times New Roman" w:hAnsi="Times New Roman"/>
        </w:rPr>
        <w:t xml:space="preserve">ning events (using training funds </w:t>
      </w:r>
      <w:r w:rsidRPr="00026648">
        <w:rPr>
          <w:rFonts w:ascii="Times New Roman" w:hAnsi="Times New Roman"/>
        </w:rPr>
        <w:t>to support speaker costs), such as providing logistical support for local meetings of primary care practices and creating innovative opportunities for learning and communication between primary care practices;</w:t>
      </w:r>
      <w:r w:rsidR="00D96684">
        <w:rPr>
          <w:rFonts w:ascii="Times New Roman" w:hAnsi="Times New Roman"/>
        </w:rPr>
        <w:t xml:space="preserve"> a</w:t>
      </w:r>
      <w:r>
        <w:rPr>
          <w:rFonts w:ascii="Times New Roman" w:hAnsi="Times New Roman"/>
        </w:rPr>
        <w:t>nd</w:t>
      </w:r>
    </w:p>
    <w:p w:rsidR="004D1D93" w:rsidRPr="00026648" w:rsidRDefault="004D1D93" w:rsidP="00515635">
      <w:pPr>
        <w:widowControl w:val="0"/>
        <w:numPr>
          <w:ilvl w:val="0"/>
          <w:numId w:val="32"/>
        </w:numPr>
        <w:spacing w:before="120" w:after="240"/>
        <w:rPr>
          <w:rFonts w:ascii="Times New Roman" w:hAnsi="Times New Roman"/>
        </w:rPr>
      </w:pPr>
      <w:r w:rsidRPr="00026648">
        <w:rPr>
          <w:rFonts w:ascii="Times New Roman" w:hAnsi="Times New Roman"/>
        </w:rPr>
        <w:t>Developing and coordinating co-management and referral agreements with practices in the health home neighborhood (integrated community).</w:t>
      </w:r>
    </w:p>
    <w:p w:rsidR="004D1D93" w:rsidRDefault="004D1D93" w:rsidP="004D1D93">
      <w:pPr>
        <w:pStyle w:val="Heading3"/>
      </w:pPr>
      <w:bookmarkStart w:id="71" w:name="_Toc521488588"/>
      <w:r>
        <w:t>Pro</w:t>
      </w:r>
      <w:r w:rsidR="00D96684">
        <w:t xml:space="preserve">gram </w:t>
      </w:r>
      <w:r>
        <w:t>Management—</w:t>
      </w:r>
      <w:r w:rsidRPr="00026648">
        <w:t xml:space="preserve">MAT </w:t>
      </w:r>
      <w:r w:rsidR="00D96684">
        <w:t xml:space="preserve">and WHI </w:t>
      </w:r>
      <w:r w:rsidRPr="00026648">
        <w:t>Practice Contacts</w:t>
      </w:r>
      <w:bookmarkEnd w:id="71"/>
    </w:p>
    <w:p w:rsidR="004D1D93" w:rsidRPr="00026648" w:rsidRDefault="004D1D93" w:rsidP="004D1D93">
      <w:pPr>
        <w:spacing w:after="240"/>
        <w:rPr>
          <w:rFonts w:ascii="Times New Roman" w:hAnsi="Times New Roman"/>
        </w:rPr>
      </w:pPr>
      <w:r w:rsidRPr="00026648">
        <w:rPr>
          <w:rFonts w:ascii="Times New Roman" w:hAnsi="Times New Roman"/>
        </w:rPr>
        <w:t>The Project Manager shall be in contact with all practices and programs providing medication assisted treatment</w:t>
      </w:r>
      <w:r w:rsidR="00D96684">
        <w:rPr>
          <w:rFonts w:ascii="Times New Roman" w:hAnsi="Times New Roman"/>
        </w:rPr>
        <w:t xml:space="preserve"> </w:t>
      </w:r>
      <w:r w:rsidRPr="00026648">
        <w:rPr>
          <w:rFonts w:ascii="Times New Roman" w:hAnsi="Times New Roman"/>
        </w:rPr>
        <w:t xml:space="preserve">for opioid use disorder within the Health Service Area on an at least quarterly basis to encourage their participation in the statewide “Hub &amp; Spoke” and Women’s Health </w:t>
      </w:r>
      <w:r>
        <w:rPr>
          <w:rFonts w:ascii="Times New Roman" w:hAnsi="Times New Roman"/>
        </w:rPr>
        <w:t>I</w:t>
      </w:r>
      <w:r w:rsidRPr="00026648">
        <w:rPr>
          <w:rFonts w:ascii="Times New Roman" w:hAnsi="Times New Roman"/>
        </w:rPr>
        <w:t xml:space="preserve">nitiative, to coordinate hiring and deployment of MAT and WHI staff, and to support quality improvement projects to improve care and patient outcomes. The Project Manager will also collaborate with local leadership to encourage the recruitment of additional providers to offer MAT. </w:t>
      </w:r>
    </w:p>
    <w:p w:rsidR="00D96684" w:rsidRDefault="00D96684" w:rsidP="00D96684">
      <w:pPr>
        <w:pStyle w:val="Heading3"/>
      </w:pPr>
      <w:bookmarkStart w:id="72" w:name="_Toc521488589"/>
      <w:r>
        <w:t>Program Management—</w:t>
      </w:r>
      <w:r w:rsidR="004D1D93" w:rsidRPr="00026648">
        <w:t>Health Reform Communication</w:t>
      </w:r>
      <w:bookmarkEnd w:id="72"/>
      <w:r w:rsidR="004D1D93" w:rsidRPr="00026648">
        <w:t xml:space="preserve"> </w:t>
      </w:r>
    </w:p>
    <w:p w:rsidR="004D1D93" w:rsidRDefault="004D1D93" w:rsidP="004D1D93">
      <w:pPr>
        <w:spacing w:after="240"/>
        <w:rPr>
          <w:rFonts w:ascii="Times New Roman" w:hAnsi="Times New Roman"/>
        </w:rPr>
      </w:pPr>
      <w:r w:rsidRPr="00026648">
        <w:rPr>
          <w:rFonts w:ascii="Times New Roman" w:hAnsi="Times New Roman"/>
        </w:rPr>
        <w:t xml:space="preserve">The Project Manager shall be responsible for communicating directly with practices as frequently as necessary on changes in statewide healthcare reform policies and procedures, especially as they </w:t>
      </w:r>
      <w:r>
        <w:rPr>
          <w:rFonts w:ascii="Times New Roman" w:hAnsi="Times New Roman"/>
        </w:rPr>
        <w:t>affect</w:t>
      </w:r>
      <w:r w:rsidRPr="00026648">
        <w:rPr>
          <w:rFonts w:ascii="Times New Roman" w:hAnsi="Times New Roman"/>
        </w:rPr>
        <w:t xml:space="preserve"> practice processes, participation requirements, involvement in other State or national reform or billing efforts, ACO activities, and Blueprint program payment levels and practice eligibility criteria. The </w:t>
      </w:r>
      <w:r w:rsidR="00D96684">
        <w:rPr>
          <w:rFonts w:ascii="Times New Roman" w:hAnsi="Times New Roman"/>
        </w:rPr>
        <w:t xml:space="preserve">Project Manager </w:t>
      </w:r>
      <w:r w:rsidRPr="00026648">
        <w:rPr>
          <w:rFonts w:ascii="Times New Roman" w:hAnsi="Times New Roman"/>
        </w:rPr>
        <w:t xml:space="preserve">shall communicate updates received from the State in a timely fashion. </w:t>
      </w:r>
    </w:p>
    <w:p w:rsidR="003B4AAA" w:rsidRDefault="008A03CB" w:rsidP="003B4AAA">
      <w:pPr>
        <w:pStyle w:val="Heading3"/>
      </w:pPr>
      <w:bookmarkStart w:id="73" w:name="_Toc521488590"/>
      <w:r>
        <w:t>Program Management—Unified Performance Reporting and Data Utility</w:t>
      </w:r>
      <w:bookmarkEnd w:id="73"/>
    </w:p>
    <w:p w:rsidR="008A03CB" w:rsidRPr="007527DD" w:rsidRDefault="003B4AAA" w:rsidP="008A03CB">
      <w:pPr>
        <w:spacing w:after="240"/>
        <w:rPr>
          <w:rFonts w:ascii="Times New Roman" w:hAnsi="Times New Roman"/>
        </w:rPr>
      </w:pPr>
      <w:r w:rsidRPr="003B4AAA">
        <w:t xml:space="preserve"> </w:t>
      </w:r>
      <w:r w:rsidR="008A03CB" w:rsidRPr="007527DD">
        <w:rPr>
          <w:rFonts w:ascii="Times New Roman" w:hAnsi="Times New Roman"/>
        </w:rPr>
        <w:t xml:space="preserve">In the </w:t>
      </w:r>
      <w:r w:rsidR="006C4D3D">
        <w:rPr>
          <w:rFonts w:ascii="Times New Roman" w:hAnsi="Times New Roman"/>
        </w:rPr>
        <w:t>Administrative Entity</w:t>
      </w:r>
      <w:r w:rsidR="008A03CB" w:rsidRPr="007527DD">
        <w:rPr>
          <w:rFonts w:ascii="Times New Roman" w:hAnsi="Times New Roman"/>
        </w:rPr>
        <w:t>’s Health Service Area, the Project Manager shall coordinate, support, and partner with others in activities that strengthen data passed into</w:t>
      </w:r>
      <w:r w:rsidR="008A03CB">
        <w:rPr>
          <w:rFonts w:ascii="Times New Roman" w:hAnsi="Times New Roman"/>
        </w:rPr>
        <w:t>,</w:t>
      </w:r>
      <w:r w:rsidR="008A03CB" w:rsidRPr="007527DD">
        <w:rPr>
          <w:rFonts w:ascii="Times New Roman" w:hAnsi="Times New Roman"/>
        </w:rPr>
        <w:t xml:space="preserve"> and available for reporting from</w:t>
      </w:r>
      <w:r w:rsidR="008A03CB">
        <w:rPr>
          <w:rFonts w:ascii="Times New Roman" w:hAnsi="Times New Roman"/>
        </w:rPr>
        <w:t xml:space="preserve">, </w:t>
      </w:r>
      <w:r w:rsidR="008A03CB" w:rsidRPr="007527DD">
        <w:rPr>
          <w:rFonts w:ascii="Times New Roman" w:hAnsi="Times New Roman"/>
        </w:rPr>
        <w:t xml:space="preserve">Vermont’s Health Information Exchange and health information technology and data infrastructure, including Care Navigator and Workbench One as available. </w:t>
      </w:r>
    </w:p>
    <w:p w:rsidR="006C4D3D" w:rsidRDefault="008A03CB" w:rsidP="006C4D3D">
      <w:pPr>
        <w:pStyle w:val="Heading4"/>
      </w:pPr>
      <w:r w:rsidRPr="007527DD">
        <w:t>Care Management and Analytic Tools</w:t>
      </w:r>
    </w:p>
    <w:p w:rsidR="008A03CB" w:rsidRPr="007527DD" w:rsidRDefault="008A03CB" w:rsidP="008A03CB">
      <w:pPr>
        <w:spacing w:after="240"/>
        <w:rPr>
          <w:rFonts w:ascii="Times New Roman" w:hAnsi="Times New Roman"/>
        </w:rPr>
      </w:pPr>
      <w:r w:rsidRPr="007527DD">
        <w:rPr>
          <w:rFonts w:ascii="Times New Roman" w:hAnsi="Times New Roman"/>
        </w:rPr>
        <w:t xml:space="preserve">The Project Manager shall work with the State and ACOs to </w:t>
      </w:r>
      <w:r>
        <w:rPr>
          <w:rFonts w:ascii="Times New Roman" w:hAnsi="Times New Roman"/>
        </w:rPr>
        <w:t>implement and utilize</w:t>
      </w:r>
      <w:r w:rsidRPr="007527DD">
        <w:rPr>
          <w:rFonts w:ascii="Times New Roman" w:hAnsi="Times New Roman"/>
        </w:rPr>
        <w:t xml:space="preserve"> innovative technologies supporting health reform efforts t</w:t>
      </w:r>
      <w:r>
        <w:rPr>
          <w:rFonts w:ascii="Times New Roman" w:hAnsi="Times New Roman"/>
        </w:rPr>
        <w:t>hrough their work with</w:t>
      </w:r>
      <w:r w:rsidRPr="007527DD">
        <w:rPr>
          <w:rFonts w:ascii="Times New Roman" w:hAnsi="Times New Roman"/>
        </w:rPr>
        <w:t xml:space="preserve"> practices, affiliated community organizations</w:t>
      </w:r>
      <w:r>
        <w:rPr>
          <w:rFonts w:ascii="Times New Roman" w:hAnsi="Times New Roman"/>
        </w:rPr>
        <w:t>,</w:t>
      </w:r>
      <w:r w:rsidRPr="007527DD">
        <w:rPr>
          <w:rFonts w:ascii="Times New Roman" w:hAnsi="Times New Roman"/>
        </w:rPr>
        <w:t xml:space="preserve"> and CHT staff. </w:t>
      </w:r>
      <w:r>
        <w:rPr>
          <w:rFonts w:ascii="Times New Roman" w:hAnsi="Times New Roman"/>
        </w:rPr>
        <w:t>For example, i</w:t>
      </w:r>
      <w:r w:rsidRPr="007527DD">
        <w:rPr>
          <w:rFonts w:ascii="Times New Roman" w:hAnsi="Times New Roman"/>
        </w:rPr>
        <w:t xml:space="preserve">n the </w:t>
      </w:r>
      <w:r>
        <w:rPr>
          <w:rFonts w:ascii="Times New Roman" w:hAnsi="Times New Roman"/>
        </w:rPr>
        <w:t>Health Service Areas with access to</w:t>
      </w:r>
      <w:r w:rsidRPr="007527DD">
        <w:rPr>
          <w:rFonts w:ascii="Times New Roman" w:hAnsi="Times New Roman"/>
        </w:rPr>
        <w:t xml:space="preserve"> Care Navigator and Workbench One</w:t>
      </w:r>
      <w:r>
        <w:rPr>
          <w:rFonts w:ascii="Times New Roman" w:hAnsi="Times New Roman"/>
        </w:rPr>
        <w:t>,</w:t>
      </w:r>
      <w:r w:rsidRPr="007527DD">
        <w:rPr>
          <w:rFonts w:ascii="Times New Roman" w:hAnsi="Times New Roman"/>
        </w:rPr>
        <w:t xml:space="preserve"> </w:t>
      </w:r>
      <w:r>
        <w:rPr>
          <w:rFonts w:ascii="Times New Roman" w:hAnsi="Times New Roman"/>
        </w:rPr>
        <w:t>t</w:t>
      </w:r>
      <w:r w:rsidRPr="007527DD">
        <w:rPr>
          <w:rFonts w:ascii="Times New Roman" w:hAnsi="Times New Roman"/>
        </w:rPr>
        <w:t>he Project Manager shall develop a local work plan to implement</w:t>
      </w:r>
      <w:r>
        <w:rPr>
          <w:rFonts w:ascii="Times New Roman" w:hAnsi="Times New Roman"/>
        </w:rPr>
        <w:t xml:space="preserve"> analytic tools such as</w:t>
      </w:r>
      <w:r w:rsidRPr="007527DD">
        <w:rPr>
          <w:rFonts w:ascii="Times New Roman" w:hAnsi="Times New Roman"/>
        </w:rPr>
        <w:t xml:space="preserve"> Care Navigator and Workbench One, identify the care team that needs to be trained, recruit care team members and practices to participate in trainings, and monitor the </w:t>
      </w:r>
      <w:r>
        <w:rPr>
          <w:rFonts w:ascii="Times New Roman" w:hAnsi="Times New Roman"/>
        </w:rPr>
        <w:t>implementation and utilization</w:t>
      </w:r>
      <w:r w:rsidRPr="007527DD">
        <w:rPr>
          <w:rFonts w:ascii="Times New Roman" w:hAnsi="Times New Roman"/>
        </w:rPr>
        <w:t xml:space="preserve"> of the tools using data provided by </w:t>
      </w:r>
      <w:r>
        <w:rPr>
          <w:rFonts w:ascii="Times New Roman" w:hAnsi="Times New Roman"/>
        </w:rPr>
        <w:t>the ACOs</w:t>
      </w:r>
      <w:r w:rsidRPr="007527DD">
        <w:rPr>
          <w:rFonts w:ascii="Times New Roman" w:hAnsi="Times New Roman"/>
        </w:rPr>
        <w:t xml:space="preserve">.  </w:t>
      </w:r>
    </w:p>
    <w:p w:rsidR="006C4D3D" w:rsidRDefault="008A03CB" w:rsidP="006C4D3D">
      <w:pPr>
        <w:pStyle w:val="Heading4"/>
      </w:pPr>
      <w:r w:rsidRPr="00712351">
        <w:lastRenderedPageBreak/>
        <w:t>Community Health Team Recording of Patient Encounters</w:t>
      </w:r>
      <w:r>
        <w:t xml:space="preserve"> </w:t>
      </w:r>
    </w:p>
    <w:p w:rsidR="008A03CB" w:rsidRDefault="008A03CB" w:rsidP="008A03CB">
      <w:pPr>
        <w:spacing w:after="240"/>
        <w:rPr>
          <w:rFonts w:ascii="Times New Roman" w:hAnsi="Times New Roman"/>
        </w:rPr>
      </w:pPr>
      <w:r w:rsidRPr="007527DD">
        <w:rPr>
          <w:rFonts w:ascii="Times New Roman" w:hAnsi="Times New Roman"/>
        </w:rPr>
        <w:t xml:space="preserve">To ensure coordination of care, CHT staff who are providing services to a patient on behalf of a practice or organization shall document </w:t>
      </w:r>
      <w:r>
        <w:rPr>
          <w:rFonts w:ascii="Times New Roman" w:hAnsi="Times New Roman"/>
        </w:rPr>
        <w:t xml:space="preserve">that </w:t>
      </w:r>
      <w:r w:rsidRPr="007527DD">
        <w:rPr>
          <w:rFonts w:ascii="Times New Roman" w:hAnsi="Times New Roman"/>
        </w:rPr>
        <w:t xml:space="preserve">activity in that practice’s or organization’s clinical record. The Project Manager shall monitor CHT activities within the electronic health record, or patient record as applicable, and assess the effectiveness of the CHT in each region, including identification of areas for quality improvement, additional evidence-based interventions, and resource requirements. </w:t>
      </w:r>
    </w:p>
    <w:p w:rsidR="006C4D3D" w:rsidRDefault="006C4D3D" w:rsidP="006C4D3D">
      <w:pPr>
        <w:pStyle w:val="Heading3"/>
      </w:pPr>
      <w:bookmarkStart w:id="74" w:name="_Toc521488591"/>
      <w:r>
        <w:t>Program Management—Payment Processes</w:t>
      </w:r>
      <w:bookmarkEnd w:id="74"/>
    </w:p>
    <w:p w:rsidR="006C4D3D" w:rsidRDefault="006C4D3D" w:rsidP="006C4D3D">
      <w:pPr>
        <w:pStyle w:val="Heading4"/>
      </w:pPr>
      <w:r w:rsidRPr="007527DD">
        <w:t>Data Collection and Entry</w:t>
      </w:r>
    </w:p>
    <w:p w:rsidR="006C4D3D" w:rsidRPr="007527DD" w:rsidRDefault="006C4D3D" w:rsidP="006C4D3D">
      <w:pPr>
        <w:spacing w:after="240"/>
        <w:rPr>
          <w:rFonts w:ascii="Times New Roman" w:hAnsi="Times New Roman"/>
        </w:rPr>
      </w:pPr>
      <w:r w:rsidRPr="007527DD">
        <w:rPr>
          <w:rFonts w:ascii="Times New Roman" w:hAnsi="Times New Roman"/>
        </w:rPr>
        <w:t xml:space="preserve">The Project Manager shall have primary oversight and responsibility for data collection, data entry, and completion of reports as required by the State for the continuation of multi-insurer funded payments to the </w:t>
      </w:r>
      <w:r>
        <w:rPr>
          <w:rFonts w:ascii="Times New Roman" w:hAnsi="Times New Roman"/>
        </w:rPr>
        <w:t>Administrative Entity</w:t>
      </w:r>
      <w:r w:rsidRPr="007527DD">
        <w:rPr>
          <w:rFonts w:ascii="Times New Roman" w:hAnsi="Times New Roman"/>
        </w:rPr>
        <w:t xml:space="preserve"> to support CHT and to PCMHs within the Health Service Area. </w:t>
      </w:r>
    </w:p>
    <w:p w:rsidR="006C4D3D" w:rsidRPr="007527DD" w:rsidRDefault="006C4D3D" w:rsidP="006C4D3D">
      <w:pPr>
        <w:spacing w:after="240"/>
        <w:rPr>
          <w:rFonts w:ascii="Times New Roman" w:hAnsi="Times New Roman"/>
        </w:rPr>
      </w:pPr>
      <w:r w:rsidRPr="007527DD">
        <w:rPr>
          <w:rFonts w:ascii="Times New Roman" w:hAnsi="Times New Roman"/>
        </w:rPr>
        <w:t>Detailed information on providers, practices, and CHT administrative entities is required by commercial and public payers in order to implement enhanced payments.  The State provides the Blueprint Provider Directory (</w:t>
      </w:r>
      <w:hyperlink r:id="rId22" w:history="1">
        <w:r w:rsidRPr="007527DD">
          <w:rPr>
            <w:rFonts w:ascii="Times New Roman" w:hAnsi="Times New Roman"/>
            <w:color w:val="0000FF"/>
            <w:u w:val="single"/>
          </w:rPr>
          <w:t>https://blueprintforhealthportal.vermont.gov/</w:t>
        </w:r>
      </w:hyperlink>
      <w:r w:rsidRPr="007527DD">
        <w:rPr>
          <w:rFonts w:ascii="Times New Roman" w:hAnsi="Times New Roman"/>
        </w:rPr>
        <w:t>) to Project Managers as the data collection tool for required information according to the following schedule:</w:t>
      </w:r>
    </w:p>
    <w:p w:rsidR="006C4D3D" w:rsidRPr="007527DD" w:rsidRDefault="006C4D3D" w:rsidP="006C4D3D">
      <w:pPr>
        <w:widowControl w:val="0"/>
        <w:numPr>
          <w:ilvl w:val="0"/>
          <w:numId w:val="40"/>
        </w:numPr>
        <w:spacing w:before="120" w:after="240"/>
        <w:rPr>
          <w:rFonts w:ascii="Times New Roman" w:hAnsi="Times New Roman"/>
        </w:rPr>
      </w:pPr>
      <w:r w:rsidRPr="007527DD">
        <w:rPr>
          <w:rFonts w:ascii="Times New Roman" w:hAnsi="Times New Roman"/>
        </w:rPr>
        <w:t>Total Unique Patients Reports:  Each quarter, the Project Manager or designee shall accurately enter and update practice-level patient counts (PCMH and WHI), to determine CHT staffing ratios, prior to the fifteenth (15th) day of the last month of the calendar quarter (March, June, September, and December).</w:t>
      </w:r>
    </w:p>
    <w:p w:rsidR="006C4D3D" w:rsidRPr="007527DD" w:rsidRDefault="006C4D3D" w:rsidP="006C4D3D">
      <w:pPr>
        <w:widowControl w:val="0"/>
        <w:numPr>
          <w:ilvl w:val="0"/>
          <w:numId w:val="40"/>
        </w:numPr>
        <w:spacing w:before="120" w:after="240"/>
        <w:rPr>
          <w:rFonts w:ascii="Times New Roman" w:hAnsi="Times New Roman"/>
        </w:rPr>
      </w:pPr>
      <w:r w:rsidRPr="007527DD">
        <w:rPr>
          <w:rFonts w:ascii="Times New Roman" w:hAnsi="Times New Roman"/>
        </w:rPr>
        <w:t xml:space="preserve">Practice Rosters (Practice Summary Reports):  Each quarter, on or about the fifteenth (15th) day of the first month of the quarter, the State shall notify and identify to the Project Manager or designee a cohort of those practices which are scheduled to undergo NCQA PCMH scoring approximately 6 months in the future.  For those identified practices, the Project Manager or designee shall enter and update all practice and provider information within a month, prior to the 15th day of the month following the notification date and identification of the list of practices to the </w:t>
      </w:r>
      <w:r>
        <w:rPr>
          <w:rFonts w:ascii="Times New Roman" w:hAnsi="Times New Roman"/>
        </w:rPr>
        <w:t>Administrative Entity</w:t>
      </w:r>
      <w:r w:rsidRPr="007527DD">
        <w:rPr>
          <w:rFonts w:ascii="Times New Roman" w:hAnsi="Times New Roman"/>
        </w:rPr>
        <w:t xml:space="preserve"> from the State.</w:t>
      </w:r>
    </w:p>
    <w:p w:rsidR="006C4D3D" w:rsidRPr="007527DD" w:rsidRDefault="006C4D3D" w:rsidP="006C4D3D">
      <w:pPr>
        <w:widowControl w:val="0"/>
        <w:numPr>
          <w:ilvl w:val="0"/>
          <w:numId w:val="40"/>
        </w:numPr>
        <w:spacing w:before="120" w:after="240"/>
        <w:rPr>
          <w:rFonts w:ascii="Times New Roman" w:hAnsi="Times New Roman"/>
        </w:rPr>
      </w:pPr>
      <w:r w:rsidRPr="007527DD">
        <w:rPr>
          <w:rFonts w:ascii="Times New Roman" w:hAnsi="Times New Roman"/>
        </w:rPr>
        <w:t>CHT/MAT/WHI Staffing and Practice Demographics Reports:  Each quarter, prior to the fifteenth (15th) day of the first month of each calendar quarter (January, April, July, and October), the Project Manager or designee shall enter and update CHT/MAT/WHI staffing and practice demographics information.</w:t>
      </w:r>
    </w:p>
    <w:p w:rsidR="006C4D3D" w:rsidRPr="007527DD" w:rsidRDefault="006C4D3D" w:rsidP="006C4D3D">
      <w:pPr>
        <w:spacing w:after="240"/>
        <w:rPr>
          <w:rFonts w:ascii="Times New Roman" w:hAnsi="Times New Roman"/>
        </w:rPr>
      </w:pPr>
      <w:r w:rsidRPr="007527DD">
        <w:rPr>
          <w:rFonts w:ascii="Times New Roman" w:hAnsi="Times New Roman"/>
        </w:rPr>
        <w:t>The</w:t>
      </w:r>
      <w:r>
        <w:rPr>
          <w:rFonts w:ascii="Times New Roman" w:hAnsi="Times New Roman"/>
        </w:rPr>
        <w:t xml:space="preserve"> Administrative Entity</w:t>
      </w:r>
      <w:r w:rsidRPr="007527DD">
        <w:rPr>
          <w:rFonts w:ascii="Times New Roman" w:hAnsi="Times New Roman"/>
        </w:rPr>
        <w:t xml:space="preserve">, via the Project Manager or designee, shall report practice changes (being changes to practice-specific information previously submitted to the Blueprint Provider Directory), such as, but not limited to, provider transitions or attrition, or practice billing </w:t>
      </w:r>
      <w:r>
        <w:rPr>
          <w:rFonts w:ascii="Times New Roman" w:hAnsi="Times New Roman"/>
        </w:rPr>
        <w:t>national provider identifier</w:t>
      </w:r>
      <w:r w:rsidRPr="007527DD">
        <w:rPr>
          <w:rFonts w:ascii="Times New Roman" w:hAnsi="Times New Roman"/>
        </w:rPr>
        <w:t xml:space="preserve"> changes or additions, to the State and all payers as they occur via the Blueprint Provider Directory.</w:t>
      </w:r>
    </w:p>
    <w:p w:rsidR="006C4D3D" w:rsidRPr="007527DD" w:rsidRDefault="006C4D3D" w:rsidP="006C4D3D">
      <w:pPr>
        <w:spacing w:after="240"/>
        <w:rPr>
          <w:rFonts w:ascii="Times New Roman" w:hAnsi="Times New Roman"/>
        </w:rPr>
      </w:pPr>
      <w:r w:rsidRPr="007527DD">
        <w:rPr>
          <w:rFonts w:ascii="Times New Roman" w:hAnsi="Times New Roman"/>
        </w:rPr>
        <w:t xml:space="preserve">The State reserves the right to require the </w:t>
      </w:r>
      <w:r>
        <w:rPr>
          <w:rFonts w:ascii="Times New Roman" w:hAnsi="Times New Roman"/>
        </w:rPr>
        <w:t>Administrative Entity</w:t>
      </w:r>
      <w:r w:rsidRPr="007527DD">
        <w:rPr>
          <w:rFonts w:ascii="Times New Roman" w:hAnsi="Times New Roman"/>
        </w:rPr>
        <w:t xml:space="preserve"> to provide additional payment-related information or to require that the information described in this section be provided </w:t>
      </w:r>
      <w:r w:rsidRPr="007527DD">
        <w:rPr>
          <w:rFonts w:ascii="Times New Roman" w:hAnsi="Times New Roman"/>
        </w:rPr>
        <w:lastRenderedPageBreak/>
        <w:t>according to a different schedule or via an alternate set of data collection tools. Failure to meet deliverables associated with payment processes in a timely manner could lead to a discontinuation of insurer funding for CHT and PCMH operations until the information is collected, updated, and submitted.</w:t>
      </w:r>
    </w:p>
    <w:p w:rsidR="006C4D3D" w:rsidRDefault="006C4D3D" w:rsidP="006C4D3D">
      <w:pPr>
        <w:pStyle w:val="Heading4"/>
      </w:pPr>
      <w:r w:rsidRPr="007527DD">
        <w:t xml:space="preserve">Payment Communication </w:t>
      </w:r>
      <w:r>
        <w:t xml:space="preserve"> </w:t>
      </w:r>
    </w:p>
    <w:p w:rsidR="006C4D3D" w:rsidRPr="007527DD" w:rsidRDefault="006C4D3D" w:rsidP="006C4D3D">
      <w:pPr>
        <w:spacing w:after="240"/>
        <w:rPr>
          <w:rFonts w:ascii="Times New Roman" w:hAnsi="Times New Roman"/>
        </w:rPr>
      </w:pPr>
      <w:r>
        <w:rPr>
          <w:rFonts w:ascii="Times New Roman" w:hAnsi="Times New Roman"/>
        </w:rPr>
        <w:t xml:space="preserve">The </w:t>
      </w:r>
      <w:r w:rsidRPr="007527DD">
        <w:rPr>
          <w:rFonts w:ascii="Times New Roman" w:hAnsi="Times New Roman"/>
        </w:rPr>
        <w:t>Project Manager shall be responsible for communicating updates on payment-related processes to practices as they occur based on updates received from the State and for working with practices and parent organizations to identify and</w:t>
      </w:r>
      <w:r>
        <w:rPr>
          <w:rFonts w:ascii="Times New Roman" w:hAnsi="Times New Roman"/>
        </w:rPr>
        <w:t xml:space="preserve"> communicate q</w:t>
      </w:r>
      <w:r w:rsidRPr="007527DD">
        <w:rPr>
          <w:rFonts w:ascii="Times New Roman" w:hAnsi="Times New Roman"/>
        </w:rPr>
        <w:t>uestions, concerns, risks, and issues to the State as they arise,</w:t>
      </w:r>
      <w:r>
        <w:rPr>
          <w:rFonts w:ascii="Times New Roman" w:hAnsi="Times New Roman"/>
        </w:rPr>
        <w:t xml:space="preserve"> with</w:t>
      </w:r>
      <w:r w:rsidRPr="007527DD">
        <w:rPr>
          <w:rFonts w:ascii="Times New Roman" w:hAnsi="Times New Roman"/>
        </w:rPr>
        <w:t xml:space="preserve"> follow up</w:t>
      </w:r>
      <w:r>
        <w:rPr>
          <w:rFonts w:ascii="Times New Roman" w:hAnsi="Times New Roman"/>
        </w:rPr>
        <w:t xml:space="preserve"> completed</w:t>
      </w:r>
      <w:r w:rsidRPr="007527DD">
        <w:rPr>
          <w:rFonts w:ascii="Times New Roman" w:hAnsi="Times New Roman"/>
        </w:rPr>
        <w:t xml:space="preserve"> as appropriate.  </w:t>
      </w:r>
    </w:p>
    <w:p w:rsidR="006C4D3D" w:rsidRPr="006C4D3D" w:rsidRDefault="006C4D3D" w:rsidP="006C4D3D"/>
    <w:p w:rsidR="009F279E" w:rsidRPr="003B4AAA" w:rsidRDefault="009F279E" w:rsidP="008A03CB"/>
    <w:p w:rsidR="0019320E" w:rsidRPr="00893BC5" w:rsidRDefault="0019320E" w:rsidP="000815EB">
      <w:pPr>
        <w:pStyle w:val="Heading2"/>
      </w:pPr>
      <w:bookmarkStart w:id="75" w:name="_Toc419884054"/>
      <w:bookmarkStart w:id="76" w:name="_Toc419884334"/>
      <w:bookmarkStart w:id="77" w:name="_Toc440036728"/>
      <w:bookmarkStart w:id="78" w:name="_Toc521488592"/>
      <w:r w:rsidRPr="00893BC5">
        <w:t>Advanced Primary Care Practice</w:t>
      </w:r>
      <w:bookmarkEnd w:id="75"/>
      <w:bookmarkEnd w:id="76"/>
      <w:bookmarkEnd w:id="77"/>
      <w:bookmarkEnd w:id="78"/>
      <w:r w:rsidR="006C4D3D" w:rsidRPr="00893BC5">
        <w:rPr>
          <w:i/>
        </w:rPr>
        <w:t xml:space="preserve"> </w:t>
      </w:r>
    </w:p>
    <w:p w:rsidR="0019320E" w:rsidRPr="007678FC" w:rsidRDefault="0019320E" w:rsidP="006E05C6">
      <w:pPr>
        <w:pStyle w:val="Heading3"/>
      </w:pPr>
      <w:bookmarkStart w:id="79" w:name="_Toc419884055"/>
      <w:bookmarkStart w:id="80" w:name="_Toc419884335"/>
      <w:bookmarkStart w:id="81" w:name="_Toc440036729"/>
      <w:bookmarkStart w:id="82" w:name="_Toc521488593"/>
      <w:r w:rsidRPr="007678FC">
        <w:t>Definition</w:t>
      </w:r>
      <w:bookmarkEnd w:id="79"/>
      <w:bookmarkEnd w:id="80"/>
      <w:bookmarkEnd w:id="81"/>
      <w:bookmarkEnd w:id="82"/>
    </w:p>
    <w:p w:rsidR="0019320E" w:rsidRPr="007678FC" w:rsidRDefault="0019320E" w:rsidP="0019320E">
      <w:r w:rsidRPr="007678FC">
        <w:rPr>
          <w:rFonts w:cs="Arial"/>
        </w:rPr>
        <w:t xml:space="preserve">An Advanced Primary Care Practice is a primary care practice that has completed the program eligibility requirements outlined in this document including </w:t>
      </w:r>
      <w:r w:rsidR="00F74644" w:rsidRPr="007678FC">
        <w:rPr>
          <w:rFonts w:cs="Arial"/>
        </w:rPr>
        <w:t xml:space="preserve">achieving official recognition </w:t>
      </w:r>
      <w:r w:rsidRPr="007678FC">
        <w:rPr>
          <w:rFonts w:cs="Arial"/>
        </w:rPr>
        <w:t>based on National Co</w:t>
      </w:r>
      <w:r w:rsidR="001C11EB" w:rsidRPr="007678FC">
        <w:rPr>
          <w:rFonts w:cs="Arial"/>
        </w:rPr>
        <w:t xml:space="preserve">mmittee for Quality Assurance </w:t>
      </w:r>
      <w:r w:rsidRPr="007678FC">
        <w:rPr>
          <w:rFonts w:cs="Arial"/>
        </w:rPr>
        <w:t>– Patient Centered Medical Home (</w:t>
      </w:r>
      <w:r w:rsidR="00D963BD" w:rsidRPr="007678FC">
        <w:rPr>
          <w:rFonts w:cs="Arial"/>
        </w:rPr>
        <w:t xml:space="preserve">NCQA </w:t>
      </w:r>
      <w:r w:rsidRPr="007678FC">
        <w:rPr>
          <w:rFonts w:cs="Arial"/>
        </w:rPr>
        <w:t xml:space="preserve">PCMH) standards.  </w:t>
      </w:r>
    </w:p>
    <w:p w:rsidR="0019320E" w:rsidRDefault="0019320E" w:rsidP="0019320E">
      <w:pPr>
        <w:rPr>
          <w:rFonts w:cs="Arial"/>
        </w:rPr>
      </w:pPr>
    </w:p>
    <w:p w:rsidR="007F794E" w:rsidRPr="00101A46" w:rsidRDefault="007F794E" w:rsidP="007F794E">
      <w:pPr>
        <w:rPr>
          <w:rFonts w:ascii="Times New Roman" w:hAnsi="Times New Roman"/>
          <w:b/>
        </w:rPr>
      </w:pPr>
      <w:r w:rsidRPr="00101A46">
        <w:rPr>
          <w:rFonts w:ascii="Times New Roman" w:hAnsi="Times New Roman"/>
        </w:rPr>
        <w:t>Primary care practices receive per member per month payments in exchange for providing enhanced services as a Patient</w:t>
      </w:r>
      <w:r>
        <w:rPr>
          <w:rFonts w:ascii="Times New Roman" w:hAnsi="Times New Roman"/>
        </w:rPr>
        <w:t>-</w:t>
      </w:r>
      <w:r w:rsidRPr="00101A46">
        <w:rPr>
          <w:rFonts w:ascii="Times New Roman" w:hAnsi="Times New Roman"/>
        </w:rPr>
        <w:t xml:space="preserve">Centered Medical Home (PCMH), integrating a CHT into their practice, connecting to the health information technology infrastructure and participating in the Community Collaborative efforts.  The starting point for practices participating in the Blueprint is becoming recognized as patient centered medical homes by the National Committee for Quality </w:t>
      </w:r>
      <w:r>
        <w:rPr>
          <w:rFonts w:ascii="Times New Roman" w:hAnsi="Times New Roman"/>
        </w:rPr>
        <w:t>Assurance</w:t>
      </w:r>
      <w:r w:rsidRPr="00101A46">
        <w:rPr>
          <w:rFonts w:ascii="Times New Roman" w:hAnsi="Times New Roman"/>
        </w:rPr>
        <w:t xml:space="preserve"> (NCQA). Patient centered medical homes form the foundation of the ACO and are central to the care model.  For low risk patients, they promote healthy behaviors and preventive health screenings, for moderate risk patients they assist with self-management support to prevent chronic diseases from progressing, with high-risk and very high-risk patients they are an integral part of the care teams, </w:t>
      </w:r>
      <w:r>
        <w:rPr>
          <w:rFonts w:ascii="Times New Roman" w:hAnsi="Times New Roman"/>
        </w:rPr>
        <w:t>with a</w:t>
      </w:r>
      <w:r w:rsidRPr="00101A46">
        <w:rPr>
          <w:rFonts w:ascii="Times New Roman" w:hAnsi="Times New Roman"/>
        </w:rPr>
        <w:t xml:space="preserve"> lead care coordinator for people who have complex medical conditions.</w:t>
      </w:r>
    </w:p>
    <w:p w:rsidR="007F794E" w:rsidRPr="007678FC" w:rsidRDefault="007F794E" w:rsidP="0019320E">
      <w:pPr>
        <w:rPr>
          <w:rFonts w:cs="Arial"/>
        </w:rPr>
      </w:pPr>
    </w:p>
    <w:p w:rsidR="0019320E" w:rsidRPr="007678FC" w:rsidRDefault="0019320E" w:rsidP="006E05C6">
      <w:pPr>
        <w:pStyle w:val="Heading3"/>
      </w:pPr>
      <w:bookmarkStart w:id="83" w:name="_Toc419884056"/>
      <w:bookmarkStart w:id="84" w:name="_Toc419884336"/>
      <w:bookmarkStart w:id="85" w:name="_Toc440036730"/>
      <w:bookmarkStart w:id="86" w:name="_Toc521488594"/>
      <w:r w:rsidRPr="007678FC">
        <w:t>NCQA Scoring</w:t>
      </w:r>
      <w:bookmarkEnd w:id="83"/>
      <w:bookmarkEnd w:id="84"/>
      <w:bookmarkEnd w:id="85"/>
      <w:bookmarkEnd w:id="86"/>
    </w:p>
    <w:p w:rsidR="0019320E" w:rsidRPr="00432903" w:rsidRDefault="0019320E">
      <w:pPr>
        <w:rPr>
          <w:rFonts w:cs="Arial"/>
        </w:rPr>
      </w:pPr>
      <w:r w:rsidRPr="00432903">
        <w:rPr>
          <w:rFonts w:cs="Arial"/>
          <w:b/>
        </w:rPr>
        <w:t xml:space="preserve">Overview:  </w:t>
      </w:r>
      <w:r w:rsidRPr="00432903">
        <w:rPr>
          <w:rFonts w:cs="Arial"/>
        </w:rPr>
        <w:t xml:space="preserve">The Blueprint uses the </w:t>
      </w:r>
      <w:r w:rsidR="00D963BD" w:rsidRPr="00432903">
        <w:rPr>
          <w:rFonts w:cs="Arial"/>
        </w:rPr>
        <w:t>NCQA PCMH</w:t>
      </w:r>
      <w:r w:rsidRPr="00432903">
        <w:rPr>
          <w:rFonts w:cs="Arial"/>
        </w:rPr>
        <w:t xml:space="preserve"> standards to evaluate and score practices (as well as the other requirements) to become and to maintain their status as Blueprint Advance Primary Care Practices. A copy of the standards can be found on the NCQA website at </w:t>
      </w:r>
      <w:hyperlink r:id="rId23" w:history="1">
        <w:r w:rsidR="00E93BC0" w:rsidRPr="00432903">
          <w:rPr>
            <w:rStyle w:val="Hyperlink"/>
            <w:rFonts w:cs="Arial"/>
          </w:rPr>
          <w:t>http://www.ncqa.org</w:t>
        </w:r>
      </w:hyperlink>
      <w:r w:rsidR="00E93BC0" w:rsidRPr="00432903">
        <w:rPr>
          <w:rFonts w:cs="Arial"/>
        </w:rPr>
        <w:t xml:space="preserve">. </w:t>
      </w:r>
      <w:r w:rsidRPr="00432903">
        <w:rPr>
          <w:rFonts w:cs="Arial"/>
        </w:rPr>
        <w:t>The practice is responsible for paying the required fee to NCQA for their review, validation, and recognition.</w:t>
      </w:r>
    </w:p>
    <w:p w:rsidR="0019320E" w:rsidRPr="00432903" w:rsidRDefault="0019320E" w:rsidP="0019320E">
      <w:pPr>
        <w:rPr>
          <w:rFonts w:cs="Arial"/>
        </w:rPr>
      </w:pPr>
    </w:p>
    <w:p w:rsidR="0019320E" w:rsidRPr="00432903" w:rsidRDefault="0019320E" w:rsidP="00E93BC0">
      <w:pPr>
        <w:rPr>
          <w:rFonts w:cs="Arial"/>
        </w:rPr>
      </w:pPr>
      <w:r w:rsidRPr="00432903">
        <w:rPr>
          <w:rFonts w:cs="Arial"/>
        </w:rPr>
        <w:t xml:space="preserve">The overarching goal, mandated in Act 128, is to extend the program to all willing primary care providers. </w:t>
      </w:r>
    </w:p>
    <w:p w:rsidR="0019320E" w:rsidRPr="00432903" w:rsidRDefault="0019320E" w:rsidP="0019320E">
      <w:pPr>
        <w:rPr>
          <w:rFonts w:cs="Arial"/>
        </w:rPr>
      </w:pPr>
    </w:p>
    <w:p w:rsidR="0019320E" w:rsidRPr="007678FC" w:rsidRDefault="0019320E" w:rsidP="0019320E">
      <w:pPr>
        <w:rPr>
          <w:rFonts w:cs="Arial"/>
        </w:rPr>
      </w:pPr>
      <w:r w:rsidRPr="00432903">
        <w:rPr>
          <w:rFonts w:cs="Arial"/>
        </w:rPr>
        <w:lastRenderedPageBreak/>
        <w:t xml:space="preserve">In order to be eligible for enhanced payments as an Advanced Primary Care Practice, Vermont practices </w:t>
      </w:r>
      <w:r w:rsidR="00D345C0" w:rsidRPr="00432903">
        <w:rPr>
          <w:rFonts w:cs="Arial"/>
        </w:rPr>
        <w:t>must achieve</w:t>
      </w:r>
      <w:r w:rsidR="00792F51" w:rsidRPr="00432903">
        <w:rPr>
          <w:rFonts w:cs="Arial"/>
        </w:rPr>
        <w:t xml:space="preserve"> and maintain</w:t>
      </w:r>
      <w:r w:rsidR="00D345C0" w:rsidRPr="00432903">
        <w:rPr>
          <w:rFonts w:cs="Arial"/>
        </w:rPr>
        <w:t xml:space="preserve"> </w:t>
      </w:r>
      <w:r w:rsidR="00870760" w:rsidRPr="00432903">
        <w:rPr>
          <w:rFonts w:cs="Arial"/>
        </w:rPr>
        <w:t>NCQA</w:t>
      </w:r>
      <w:r w:rsidR="00D963BD" w:rsidRPr="00432903">
        <w:rPr>
          <w:rFonts w:cs="Arial"/>
        </w:rPr>
        <w:t xml:space="preserve"> PCMH</w:t>
      </w:r>
      <w:r w:rsidRPr="00432903">
        <w:rPr>
          <w:rFonts w:cs="Arial"/>
        </w:rPr>
        <w:t xml:space="preserve"> recognition</w:t>
      </w:r>
      <w:r w:rsidR="00F81EA4" w:rsidRPr="00432903">
        <w:rPr>
          <w:rFonts w:cs="Arial"/>
        </w:rPr>
        <w:t xml:space="preserve"> under the </w:t>
      </w:r>
      <w:r w:rsidR="00432903" w:rsidRPr="00432903">
        <w:rPr>
          <w:rFonts w:cs="Arial"/>
        </w:rPr>
        <w:t xml:space="preserve">applicable </w:t>
      </w:r>
      <w:r w:rsidR="00F81EA4" w:rsidRPr="00432903">
        <w:rPr>
          <w:rFonts w:cs="Arial"/>
        </w:rPr>
        <w:t>standards and/or start the engaging process under the 2017 standards. The start of the engaging process is defined by NCQA as the date that a practice submits their initial documentation and payment to NCQA on the Q-Pass portal.</w:t>
      </w:r>
      <w:r w:rsidR="00933540" w:rsidRPr="00933540">
        <w:rPr>
          <w:rFonts w:cs="Arial"/>
        </w:rPr>
        <w:t xml:space="preserve">    </w:t>
      </w:r>
    </w:p>
    <w:p w:rsidR="0019320E" w:rsidRDefault="0019320E" w:rsidP="0019320E"/>
    <w:p w:rsidR="00933540" w:rsidRPr="000815EB" w:rsidRDefault="00432903" w:rsidP="000815EB">
      <w:pPr>
        <w:pStyle w:val="Heading2"/>
      </w:pPr>
      <w:bookmarkStart w:id="87" w:name="_Toc521488595"/>
      <w:r w:rsidRPr="000815EB">
        <w:t>Expansion and Quality Improvement Program (EQuIP)</w:t>
      </w:r>
      <w:bookmarkEnd w:id="87"/>
    </w:p>
    <w:p w:rsidR="00432903" w:rsidRDefault="00432903" w:rsidP="00432903">
      <w:r>
        <w:t>The Blueprint for Health Expansion and Quality Improvement Program (EQuIP) program creates capacity, supports, and coaches our stakeholders – primary and specialty care providers, practice staff, and community partners – to achieve improved outcomes in:</w:t>
      </w:r>
    </w:p>
    <w:p w:rsidR="00432903" w:rsidRDefault="00432903" w:rsidP="00432903">
      <w:pPr>
        <w:numPr>
          <w:ilvl w:val="0"/>
          <w:numId w:val="46"/>
        </w:numPr>
        <w:spacing w:after="160" w:line="252" w:lineRule="auto"/>
        <w:contextualSpacing/>
        <w:rPr>
          <w:rFonts w:eastAsia="Times New Roman"/>
        </w:rPr>
      </w:pPr>
      <w:r>
        <w:rPr>
          <w:rFonts w:eastAsia="Times New Roman"/>
        </w:rPr>
        <w:t>health and wellbeing</w:t>
      </w:r>
      <w:r w:rsidR="00825848">
        <w:rPr>
          <w:rFonts w:eastAsia="Times New Roman"/>
        </w:rPr>
        <w:t>;</w:t>
      </w:r>
      <w:r>
        <w:rPr>
          <w:rFonts w:eastAsia="Times New Roman"/>
        </w:rPr>
        <w:t xml:space="preserve"> </w:t>
      </w:r>
    </w:p>
    <w:p w:rsidR="00432903" w:rsidRDefault="00432903" w:rsidP="00432903">
      <w:pPr>
        <w:numPr>
          <w:ilvl w:val="0"/>
          <w:numId w:val="46"/>
        </w:numPr>
        <w:spacing w:after="160" w:line="252" w:lineRule="auto"/>
        <w:contextualSpacing/>
        <w:rPr>
          <w:rFonts w:eastAsia="Times New Roman"/>
        </w:rPr>
      </w:pPr>
      <w:r>
        <w:rPr>
          <w:rFonts w:eastAsia="Times New Roman"/>
        </w:rPr>
        <w:t>experience of care</w:t>
      </w:r>
      <w:r w:rsidR="00825848">
        <w:rPr>
          <w:rFonts w:eastAsia="Times New Roman"/>
        </w:rPr>
        <w:t>;</w:t>
      </w:r>
      <w:r>
        <w:rPr>
          <w:rFonts w:eastAsia="Times New Roman"/>
        </w:rPr>
        <w:t xml:space="preserve"> and </w:t>
      </w:r>
    </w:p>
    <w:p w:rsidR="00432903" w:rsidRDefault="00432903" w:rsidP="00432903">
      <w:pPr>
        <w:numPr>
          <w:ilvl w:val="0"/>
          <w:numId w:val="46"/>
        </w:numPr>
        <w:spacing w:after="160" w:line="252" w:lineRule="auto"/>
        <w:contextualSpacing/>
        <w:rPr>
          <w:rFonts w:eastAsia="Times New Roman"/>
        </w:rPr>
      </w:pPr>
      <w:r>
        <w:rPr>
          <w:rFonts w:eastAsia="Times New Roman"/>
        </w:rPr>
        <w:t>value of care.</w:t>
      </w:r>
    </w:p>
    <w:p w:rsidR="00432903" w:rsidRPr="00575D1F" w:rsidRDefault="00432903" w:rsidP="00432903">
      <w:pPr>
        <w:spacing w:line="252" w:lineRule="auto"/>
        <w:ind w:left="720"/>
        <w:contextualSpacing/>
        <w:rPr>
          <w:rFonts w:eastAsia="Times New Roman"/>
        </w:rPr>
      </w:pPr>
    </w:p>
    <w:p w:rsidR="00933540" w:rsidRDefault="00432903" w:rsidP="00432903">
      <w:r>
        <w:t>Specifically, EQuIP facilitates practices and communities to achieve improvement of clinical quality measures, patient experience measures, care coordination, practice transformation, and reducing variation in outcomes. EQuIP does this through building ongoing relationships with the stakeholders Quality Improvement Facilitators work with – primary care practices, specialty practices, and community collaboratives - that are flexible to individualized needs, and connected in to quality improvement efforts and priorities at the community and state levels.</w:t>
      </w:r>
    </w:p>
    <w:p w:rsidR="00933540" w:rsidRDefault="00933540" w:rsidP="00933540"/>
    <w:p w:rsidR="00432903" w:rsidRDefault="00432903" w:rsidP="000815EB">
      <w:pPr>
        <w:pStyle w:val="Heading3"/>
      </w:pPr>
      <w:bookmarkStart w:id="88" w:name="_Toc521488596"/>
      <w:r>
        <w:t>Quality Improvement (QI) Facilitation</w:t>
      </w:r>
      <w:bookmarkEnd w:id="88"/>
    </w:p>
    <w:p w:rsidR="00432903" w:rsidRDefault="00432903" w:rsidP="00432903"/>
    <w:p w:rsidR="00432903" w:rsidRDefault="00432903" w:rsidP="00432903">
      <w:r>
        <w:t xml:space="preserve">The Quality Improvement Facilitator will have the primary responsibility of coordinating key quality improvement (QI) activities and projects at several primary care practices, specialty practices, and community collaboratives. </w:t>
      </w:r>
    </w:p>
    <w:p w:rsidR="00432903" w:rsidRDefault="00432903" w:rsidP="00432903"/>
    <w:p w:rsidR="00432903" w:rsidRDefault="00432903" w:rsidP="00432903">
      <w:r>
        <w:t>The Quality Improvement Facilitator will help engaging practices/organizations work through the continuous quality improvement process to:</w:t>
      </w:r>
    </w:p>
    <w:p w:rsidR="00432903" w:rsidRDefault="00432903" w:rsidP="00432903">
      <w:pPr>
        <w:pStyle w:val="ListParagraph"/>
        <w:widowControl w:val="0"/>
        <w:numPr>
          <w:ilvl w:val="0"/>
          <w:numId w:val="47"/>
        </w:numPr>
      </w:pPr>
      <w:r>
        <w:t>Achieve, maintain, and continue improvement on practice transformation as a Patient Centered Medical Home</w:t>
      </w:r>
    </w:p>
    <w:p w:rsidR="00432903" w:rsidRDefault="00432903" w:rsidP="00432903">
      <w:pPr>
        <w:pStyle w:val="ListParagraph"/>
        <w:widowControl w:val="0"/>
        <w:numPr>
          <w:ilvl w:val="0"/>
          <w:numId w:val="47"/>
        </w:numPr>
      </w:pPr>
      <w:r>
        <w:t>Meet standards and continue improvement on population health quality and payment reform efforts, defined by Blueprint, Green Mountain Care Board or Accountable Care Organizations (ACOs)</w:t>
      </w:r>
    </w:p>
    <w:p w:rsidR="00432903" w:rsidRDefault="00432903" w:rsidP="00432903">
      <w:pPr>
        <w:pStyle w:val="ListParagraph"/>
        <w:widowControl w:val="0"/>
        <w:numPr>
          <w:ilvl w:val="0"/>
          <w:numId w:val="47"/>
        </w:numPr>
      </w:pPr>
      <w:r>
        <w:t xml:space="preserve">Achieve and continue improvement on clinical, cost, or patient experience priorities identified by the practice </w:t>
      </w:r>
    </w:p>
    <w:p w:rsidR="00432903" w:rsidRDefault="00432903" w:rsidP="00432903"/>
    <w:p w:rsidR="00432903" w:rsidRDefault="00432903" w:rsidP="00432903">
      <w:r>
        <w:t xml:space="preserve">Practices engaging in EQuIP agree to meet with Quality Improvement Facilitators on a weekly, biweekly, or monthly basis and commit a quality improvement team to work through the quality improvement process in order to design, test, and implement changes in practices and processes towards quality improvement aims. </w:t>
      </w:r>
    </w:p>
    <w:p w:rsidR="00432903" w:rsidRDefault="00432903" w:rsidP="00432903"/>
    <w:p w:rsidR="00432903" w:rsidRDefault="00432903" w:rsidP="00432903">
      <w:r>
        <w:lastRenderedPageBreak/>
        <w:t>Quality Improvement Facilitators will work with each engaging</w:t>
      </w:r>
      <w:r w:rsidRPr="00575D1F">
        <w:t xml:space="preserve"> practice </w:t>
      </w:r>
      <w:r>
        <w:t xml:space="preserve">to: </w:t>
      </w:r>
    </w:p>
    <w:p w:rsidR="00432903" w:rsidRDefault="00432903" w:rsidP="00432903">
      <w:pPr>
        <w:widowControl w:val="0"/>
        <w:numPr>
          <w:ilvl w:val="0"/>
          <w:numId w:val="48"/>
        </w:numPr>
      </w:pPr>
      <w:r>
        <w:t>Assess the practice using quality improvement assessment tool(s) recommended by the state</w:t>
      </w:r>
    </w:p>
    <w:p w:rsidR="00432903" w:rsidRDefault="00432903" w:rsidP="00432903">
      <w:pPr>
        <w:widowControl w:val="0"/>
        <w:numPr>
          <w:ilvl w:val="0"/>
          <w:numId w:val="48"/>
        </w:numPr>
      </w:pPr>
      <w:r>
        <w:t xml:space="preserve">Compile assessment and relevant data for the practice to assist with identifying potential opportunities for quality improvement </w:t>
      </w:r>
    </w:p>
    <w:p w:rsidR="00432903" w:rsidRDefault="00432903" w:rsidP="00432903">
      <w:pPr>
        <w:widowControl w:val="0"/>
        <w:numPr>
          <w:ilvl w:val="0"/>
          <w:numId w:val="48"/>
        </w:numPr>
      </w:pPr>
      <w:r>
        <w:t>Assist a practice to convene a quality improvement team</w:t>
      </w:r>
    </w:p>
    <w:p w:rsidR="00432903" w:rsidRDefault="00432903" w:rsidP="00432903">
      <w:pPr>
        <w:widowControl w:val="0"/>
        <w:numPr>
          <w:ilvl w:val="0"/>
          <w:numId w:val="48"/>
        </w:numPr>
      </w:pPr>
      <w:r>
        <w:t xml:space="preserve">Coach the practice through data-driven decision making, goal and priority setting, action planning, change management, and change measurement. </w:t>
      </w:r>
    </w:p>
    <w:p w:rsidR="00432903" w:rsidRDefault="00432903" w:rsidP="00432903">
      <w:pPr>
        <w:widowControl w:val="0"/>
        <w:numPr>
          <w:ilvl w:val="0"/>
          <w:numId w:val="48"/>
        </w:numPr>
      </w:pPr>
      <w:r>
        <w:t>Research best practices on quality improvement strategies to address problem areas or opportunities identified by the practice.</w:t>
      </w:r>
    </w:p>
    <w:p w:rsidR="00432903" w:rsidRDefault="00432903" w:rsidP="00432903">
      <w:pPr>
        <w:widowControl w:val="0"/>
        <w:numPr>
          <w:ilvl w:val="0"/>
          <w:numId w:val="48"/>
        </w:numPr>
      </w:pPr>
      <w:r>
        <w:t>Engage expert consultation, share best practices, and/or connect practices with necessary resources to assist with achieving quality improvement aims.</w:t>
      </w:r>
    </w:p>
    <w:p w:rsidR="00432903" w:rsidRDefault="00432903" w:rsidP="00432903"/>
    <w:p w:rsidR="00432903" w:rsidRDefault="00432903" w:rsidP="00432903">
      <w:r>
        <w:t>The Quality Improvement Facilitators will also help practices/organizations prepare for and maintain National Committee for Quality Assurance (NCQA) Patient-Centered Medical Home (PCMH) and Patient-Centered Specialty Practice (PCSP) Recognition:</w:t>
      </w:r>
    </w:p>
    <w:p w:rsidR="00432903" w:rsidRDefault="00432903" w:rsidP="00432903">
      <w:pPr>
        <w:widowControl w:val="0"/>
        <w:numPr>
          <w:ilvl w:val="0"/>
          <w:numId w:val="48"/>
        </w:numPr>
      </w:pPr>
      <w:r>
        <w:t>Identify applicable clinical standards.</w:t>
      </w:r>
    </w:p>
    <w:p w:rsidR="00432903" w:rsidRDefault="00432903" w:rsidP="00432903">
      <w:pPr>
        <w:widowControl w:val="0"/>
        <w:numPr>
          <w:ilvl w:val="0"/>
          <w:numId w:val="48"/>
        </w:numPr>
      </w:pPr>
      <w:r>
        <w:t>Assess the practice’s current workflows against standards.</w:t>
      </w:r>
    </w:p>
    <w:p w:rsidR="00432903" w:rsidRDefault="00432903" w:rsidP="00432903">
      <w:pPr>
        <w:widowControl w:val="0"/>
        <w:numPr>
          <w:ilvl w:val="0"/>
          <w:numId w:val="48"/>
        </w:numPr>
      </w:pPr>
      <w:r>
        <w:t>Develop a work-plan and timeline for achieving standards and/or recognition.</w:t>
      </w:r>
    </w:p>
    <w:p w:rsidR="00432903" w:rsidRDefault="00432903" w:rsidP="00432903">
      <w:pPr>
        <w:widowControl w:val="0"/>
        <w:numPr>
          <w:ilvl w:val="0"/>
          <w:numId w:val="48"/>
        </w:numPr>
      </w:pPr>
      <w:r>
        <w:t>Determine which current policies, processes, and systems meet the applicable standards and which do not.</w:t>
      </w:r>
    </w:p>
    <w:p w:rsidR="00432903" w:rsidRDefault="00432903" w:rsidP="00432903">
      <w:pPr>
        <w:widowControl w:val="0"/>
        <w:numPr>
          <w:ilvl w:val="0"/>
          <w:numId w:val="48"/>
        </w:numPr>
      </w:pPr>
      <w:r>
        <w:t>Provide guidance on what changes would meet the standard or improve the chance of recognition.</w:t>
      </w:r>
    </w:p>
    <w:p w:rsidR="00432903" w:rsidRDefault="00432903" w:rsidP="00432903">
      <w:pPr>
        <w:widowControl w:val="0"/>
        <w:numPr>
          <w:ilvl w:val="0"/>
          <w:numId w:val="48"/>
        </w:numPr>
      </w:pPr>
      <w:r>
        <w:t>Assist practices in assembling documentation needed for submission to NCQA or other accountable body; and</w:t>
      </w:r>
    </w:p>
    <w:p w:rsidR="00432903" w:rsidRDefault="00432903" w:rsidP="00432903">
      <w:pPr>
        <w:widowControl w:val="0"/>
        <w:numPr>
          <w:ilvl w:val="0"/>
          <w:numId w:val="48"/>
        </w:numPr>
      </w:pPr>
      <w:r>
        <w:t>Assist practice with submitting materials</w:t>
      </w:r>
      <w:r w:rsidR="00095AA1">
        <w:t xml:space="preserve"> and support phone calls</w:t>
      </w:r>
      <w:r>
        <w:t xml:space="preserve"> for recognition on an ongoing basis to NCQA or other applicable recognition body.</w:t>
      </w:r>
    </w:p>
    <w:p w:rsidR="00432903" w:rsidRDefault="00432903" w:rsidP="00432903"/>
    <w:p w:rsidR="00432903" w:rsidRDefault="00432903" w:rsidP="00432903">
      <w:pPr>
        <w:rPr>
          <w:rFonts w:ascii="Times New Roman" w:hAnsi="Times New Roman"/>
        </w:rPr>
      </w:pPr>
      <w:r w:rsidRPr="00610183">
        <w:rPr>
          <w:rFonts w:ascii="Times New Roman" w:hAnsi="Times New Roman"/>
        </w:rPr>
        <w:t xml:space="preserve">QI Facilitators </w:t>
      </w:r>
      <w:r>
        <w:rPr>
          <w:rFonts w:ascii="Times New Roman" w:hAnsi="Times New Roman"/>
        </w:rPr>
        <w:t>will</w:t>
      </w:r>
      <w:r w:rsidRPr="00610183">
        <w:rPr>
          <w:rFonts w:ascii="Times New Roman" w:hAnsi="Times New Roman"/>
        </w:rPr>
        <w:t xml:space="preserve"> visit each site or organization at least once and shall offer to meet virtually with each site or organization at least bi-weekly and shall meet with each organization no less than monthly. </w:t>
      </w:r>
      <w:r w:rsidRPr="00610183">
        <w:rPr>
          <w:rFonts w:ascii="Times New Roman" w:hAnsi="Times New Roman"/>
          <w:w w:val="111"/>
        </w:rPr>
        <w:t xml:space="preserve">QI </w:t>
      </w:r>
      <w:r w:rsidRPr="00610183">
        <w:rPr>
          <w:rFonts w:ascii="Times New Roman" w:hAnsi="Times New Roman"/>
        </w:rPr>
        <w:t xml:space="preserve">Facilitators </w:t>
      </w:r>
      <w:r>
        <w:rPr>
          <w:rFonts w:ascii="Times New Roman" w:hAnsi="Times New Roman"/>
        </w:rPr>
        <w:t xml:space="preserve">will </w:t>
      </w:r>
      <w:r w:rsidRPr="00610183">
        <w:rPr>
          <w:rFonts w:ascii="Times New Roman" w:hAnsi="Times New Roman"/>
        </w:rPr>
        <w:t>provide appropriate levels of consultation based on factors such as the practice</w:t>
      </w:r>
      <w:r>
        <w:rPr>
          <w:rFonts w:ascii="Times New Roman" w:hAnsi="Times New Roman"/>
        </w:rPr>
        <w:t>’</w:t>
      </w:r>
      <w:r w:rsidRPr="00610183">
        <w:rPr>
          <w:rFonts w:ascii="Times New Roman" w:hAnsi="Times New Roman"/>
        </w:rPr>
        <w:t>s available internal and additional external resources and the length of time until the standards and/or QI goals are met. QI Facilitator Staff provide regular consultation in response to practice questions between meetings via phone and email.</w:t>
      </w:r>
    </w:p>
    <w:p w:rsidR="00432903" w:rsidRDefault="00432903" w:rsidP="00432903">
      <w:pPr>
        <w:rPr>
          <w:rFonts w:ascii="Times New Roman" w:hAnsi="Times New Roman"/>
        </w:rPr>
      </w:pPr>
    </w:p>
    <w:p w:rsidR="00432903" w:rsidRDefault="00432903" w:rsidP="00432903">
      <w:pPr>
        <w:pStyle w:val="ListParagraph"/>
        <w:spacing w:after="100" w:afterAutospacing="1"/>
        <w:ind w:left="0"/>
      </w:pPr>
      <w:r>
        <w:t xml:space="preserve">To support communities, the Blueprint or the ACOs may host learning collaboratives or group learning activities for communities or healthcare affiliated organization.  As required, QI Facilitators will: </w:t>
      </w:r>
    </w:p>
    <w:p w:rsidR="00432903" w:rsidRDefault="00432903" w:rsidP="00432903">
      <w:pPr>
        <w:pStyle w:val="ListParagraph"/>
        <w:numPr>
          <w:ilvl w:val="0"/>
          <w:numId w:val="49"/>
        </w:numPr>
        <w:snapToGrid w:val="0"/>
        <w:spacing w:after="100" w:afterAutospacing="1"/>
      </w:pPr>
      <w:r>
        <w:t>Help design and/or implement learning collaboratives or statewide learning activities.</w:t>
      </w:r>
    </w:p>
    <w:p w:rsidR="00432903" w:rsidRDefault="00432903" w:rsidP="00432903">
      <w:pPr>
        <w:pStyle w:val="ListParagraph"/>
        <w:numPr>
          <w:ilvl w:val="0"/>
          <w:numId w:val="49"/>
        </w:numPr>
        <w:snapToGrid w:val="0"/>
        <w:spacing w:after="100" w:afterAutospacing="1"/>
      </w:pPr>
      <w:r>
        <w:t>Participate in regularly scheduled planning meetings as frequently as once per week for up to 4 months prior to and during the collaborative.</w:t>
      </w:r>
    </w:p>
    <w:p w:rsidR="00095AA1" w:rsidRDefault="00095AA1" w:rsidP="00432903">
      <w:pPr>
        <w:pStyle w:val="ListParagraph"/>
        <w:numPr>
          <w:ilvl w:val="0"/>
          <w:numId w:val="49"/>
        </w:numPr>
        <w:snapToGrid w:val="0"/>
        <w:spacing w:after="100" w:afterAutospacing="1"/>
      </w:pPr>
      <w:r>
        <w:t>Assist practice teams participating in the learning collaborative to establish group goals and norms.</w:t>
      </w:r>
    </w:p>
    <w:p w:rsidR="00095AA1" w:rsidRDefault="00095AA1" w:rsidP="00432903">
      <w:pPr>
        <w:pStyle w:val="ListParagraph"/>
        <w:numPr>
          <w:ilvl w:val="0"/>
          <w:numId w:val="49"/>
        </w:numPr>
        <w:snapToGrid w:val="0"/>
        <w:spacing w:after="100" w:afterAutospacing="1"/>
      </w:pPr>
      <w:r>
        <w:lastRenderedPageBreak/>
        <w:t>Assess differences between how care is being delivered against best practices or clinical standards.</w:t>
      </w:r>
    </w:p>
    <w:p w:rsidR="00095AA1" w:rsidRDefault="00095AA1" w:rsidP="00432903">
      <w:pPr>
        <w:pStyle w:val="ListParagraph"/>
        <w:numPr>
          <w:ilvl w:val="0"/>
          <w:numId w:val="49"/>
        </w:numPr>
        <w:snapToGrid w:val="0"/>
        <w:spacing w:after="100" w:afterAutospacing="1"/>
      </w:pPr>
      <w:r>
        <w:t xml:space="preserve">Provide guidance on what changes would improve the identified measure of clinical process. </w:t>
      </w:r>
    </w:p>
    <w:p w:rsidR="00095AA1" w:rsidRDefault="00095AA1" w:rsidP="00432903">
      <w:pPr>
        <w:pStyle w:val="ListParagraph"/>
        <w:numPr>
          <w:ilvl w:val="0"/>
          <w:numId w:val="49"/>
        </w:numPr>
        <w:snapToGrid w:val="0"/>
        <w:spacing w:after="100" w:afterAutospacing="1"/>
      </w:pPr>
      <w:r>
        <w:t xml:space="preserve">Develop a work plan and timeline to meet between learning sessions, and to implement quality improvement cycles with the current practices. </w:t>
      </w:r>
    </w:p>
    <w:p w:rsidR="00432903" w:rsidRDefault="00432903" w:rsidP="00432903">
      <w:pPr>
        <w:pStyle w:val="ListParagraph"/>
        <w:numPr>
          <w:ilvl w:val="0"/>
          <w:numId w:val="49"/>
        </w:numPr>
        <w:snapToGrid w:val="0"/>
        <w:spacing w:after="100" w:afterAutospacing="1"/>
      </w:pPr>
      <w:r>
        <w:t>Complete assigned deliverables between meetings. Deliverables may include researching best practices, developing power points, preparing data collection sheets, and producing tools to assist communities in implementing the target strategies.</w:t>
      </w:r>
    </w:p>
    <w:p w:rsidR="00432903" w:rsidRDefault="00432903" w:rsidP="00432903">
      <w:pPr>
        <w:pStyle w:val="ListParagraph"/>
        <w:numPr>
          <w:ilvl w:val="0"/>
          <w:numId w:val="49"/>
        </w:numPr>
        <w:spacing w:after="100" w:afterAutospacing="1" w:line="256" w:lineRule="auto"/>
      </w:pPr>
      <w:r>
        <w:t xml:space="preserve">Quality Improvement Facilitators will, during the period of a learning collaborative, develop expert level knowledge of the content area and QI processes.  As they gain expertise, the QI Facilitator will provide peer-to-peer mentoring and support, which may include sharing information and examples of processes that have worked in other practices or communities, reviewing sample documents and quality improvement cycles from other facilitators and providing feedback, being available for shadowing opportunities and hosting education sessions during facilitator and field staff meetings.  </w:t>
      </w:r>
    </w:p>
    <w:p w:rsidR="00432903" w:rsidRDefault="00432903" w:rsidP="00432903">
      <w:pPr>
        <w:snapToGrid w:val="0"/>
        <w:spacing w:after="100" w:afterAutospacing="1"/>
      </w:pPr>
      <w:r>
        <w:t>The QI facilitator will also support Community Collaboratives/Accountable Communities for Health to improve performance on All-Payer Model objectives and ACO clinical priorities. QI Facilitators work with Community Collaboratives to:</w:t>
      </w:r>
    </w:p>
    <w:p w:rsidR="00432903" w:rsidRDefault="00432903" w:rsidP="00432903">
      <w:pPr>
        <w:pStyle w:val="ListParagraph"/>
        <w:numPr>
          <w:ilvl w:val="0"/>
          <w:numId w:val="49"/>
        </w:numPr>
        <w:spacing w:after="100" w:afterAutospacing="1" w:line="256" w:lineRule="auto"/>
      </w:pPr>
      <w:r>
        <w:t>Identify best practice clinical standards in the areas identified for improvement.</w:t>
      </w:r>
    </w:p>
    <w:p w:rsidR="00432903" w:rsidRDefault="00432903" w:rsidP="00432903">
      <w:pPr>
        <w:pStyle w:val="ListParagraph"/>
        <w:numPr>
          <w:ilvl w:val="0"/>
          <w:numId w:val="49"/>
        </w:numPr>
        <w:spacing w:after="100" w:afterAutospacing="1" w:line="256" w:lineRule="auto"/>
      </w:pPr>
      <w:r>
        <w:t>Assess differences between how ware care is being delivered against best practices or clinical standards.</w:t>
      </w:r>
    </w:p>
    <w:p w:rsidR="00432903" w:rsidRDefault="00432903" w:rsidP="00432903">
      <w:pPr>
        <w:pStyle w:val="ListParagraph"/>
        <w:numPr>
          <w:ilvl w:val="0"/>
          <w:numId w:val="49"/>
        </w:numPr>
        <w:spacing w:after="100" w:afterAutospacing="1" w:line="256" w:lineRule="auto"/>
      </w:pPr>
      <w:r>
        <w:t>Provide guidance on what changes would improve the identified measure or clinical process.</w:t>
      </w:r>
    </w:p>
    <w:p w:rsidR="00432903" w:rsidRDefault="00432903" w:rsidP="00432903">
      <w:pPr>
        <w:pStyle w:val="ListParagraph"/>
        <w:numPr>
          <w:ilvl w:val="0"/>
          <w:numId w:val="49"/>
        </w:numPr>
        <w:spacing w:after="100" w:afterAutospacing="1" w:line="256" w:lineRule="auto"/>
      </w:pPr>
      <w:r>
        <w:t>Develop a work plan and timeline to implement changes to the current practices.</w:t>
      </w:r>
    </w:p>
    <w:p w:rsidR="00432903" w:rsidRDefault="00432903" w:rsidP="00432903">
      <w:pPr>
        <w:pStyle w:val="ListParagraph"/>
        <w:numPr>
          <w:ilvl w:val="0"/>
          <w:numId w:val="49"/>
        </w:numPr>
        <w:spacing w:after="100" w:afterAutospacing="1" w:line="256" w:lineRule="auto"/>
      </w:pPr>
      <w:r>
        <w:t xml:space="preserve">Assist communities in identifying process measures to track whether the changes have achieved the intended outcomes; and  </w:t>
      </w:r>
    </w:p>
    <w:p w:rsidR="00432903" w:rsidRDefault="00432903" w:rsidP="00432903">
      <w:pPr>
        <w:pStyle w:val="ListParagraph"/>
        <w:numPr>
          <w:ilvl w:val="0"/>
          <w:numId w:val="49"/>
        </w:numPr>
        <w:spacing w:after="100" w:afterAutospacing="1" w:line="256" w:lineRule="auto"/>
      </w:pPr>
      <w:r>
        <w:t>Provide staffing and/or facilitation when a QI Facilitator, Blueprint representative, or ACO representative identify a need for staffing and/or facilitation.</w:t>
      </w:r>
    </w:p>
    <w:p w:rsidR="00432903" w:rsidRPr="0025299C" w:rsidRDefault="00432903" w:rsidP="000815EB">
      <w:pPr>
        <w:pStyle w:val="Heading3"/>
      </w:pPr>
      <w:bookmarkStart w:id="89" w:name="_Toc521488597"/>
      <w:r w:rsidRPr="0025299C">
        <w:t>Quality Improvement Facilitato</w:t>
      </w:r>
      <w:r w:rsidR="000815EB">
        <w:t>r—</w:t>
      </w:r>
      <w:r w:rsidRPr="0025299C">
        <w:t>Caseloads and Coverage</w:t>
      </w:r>
      <w:bookmarkEnd w:id="89"/>
    </w:p>
    <w:p w:rsidR="00432903" w:rsidRDefault="00432903" w:rsidP="00432903">
      <w:pPr>
        <w:spacing w:after="100" w:afterAutospacing="1" w:line="256" w:lineRule="auto"/>
      </w:pPr>
      <w:r>
        <w:t xml:space="preserve">Quality Improvement Facilitators will be assigned to a set of practices and/or a geographic area of coverage. Quality Improvement Facilitators typically carry a caseload of between eight to fifteen practices; this number may vary depending on the level of engagement of the practices and specific focus areas of the Facilitator. Facilitators may be asked to provide coverage within their geographic areas to allow support for vacancies, scheduled time off, and fluctuating demands for Facilitation support in quality improvement activities. </w:t>
      </w:r>
      <w:r w:rsidR="001F0B06">
        <w:t>QI Facilitators are assigned based on the following geographic areas:</w:t>
      </w:r>
    </w:p>
    <w:p w:rsidR="00432903" w:rsidRDefault="00432903" w:rsidP="00432903">
      <w:pPr>
        <w:pStyle w:val="ListParagraph"/>
        <w:numPr>
          <w:ilvl w:val="0"/>
          <w:numId w:val="50"/>
        </w:numPr>
        <w:spacing w:after="100" w:afterAutospacing="1" w:line="256" w:lineRule="auto"/>
      </w:pPr>
      <w:r>
        <w:lastRenderedPageBreak/>
        <w:t>South West – Middlebury, Rutland, Bennington</w:t>
      </w:r>
    </w:p>
    <w:p w:rsidR="00432903" w:rsidRDefault="00432903" w:rsidP="00432903">
      <w:pPr>
        <w:pStyle w:val="ListParagraph"/>
        <w:numPr>
          <w:ilvl w:val="0"/>
          <w:numId w:val="50"/>
        </w:numPr>
        <w:spacing w:after="100" w:afterAutospacing="1" w:line="256" w:lineRule="auto"/>
      </w:pPr>
      <w:r>
        <w:t>South East – Springfield, Windsor, Brattleboro</w:t>
      </w:r>
    </w:p>
    <w:p w:rsidR="00432903" w:rsidRDefault="00432903" w:rsidP="00432903">
      <w:pPr>
        <w:pStyle w:val="ListParagraph"/>
        <w:numPr>
          <w:ilvl w:val="0"/>
          <w:numId w:val="50"/>
        </w:numPr>
        <w:spacing w:after="100" w:afterAutospacing="1" w:line="256" w:lineRule="auto"/>
      </w:pPr>
      <w:r>
        <w:t>Central – Randolph, Upper Valley, Barre</w:t>
      </w:r>
    </w:p>
    <w:p w:rsidR="00432903" w:rsidRDefault="00432903" w:rsidP="00432903">
      <w:pPr>
        <w:pStyle w:val="ListParagraph"/>
        <w:numPr>
          <w:ilvl w:val="0"/>
          <w:numId w:val="50"/>
        </w:numPr>
        <w:spacing w:after="100" w:afterAutospacing="1" w:line="256" w:lineRule="auto"/>
      </w:pPr>
      <w:r>
        <w:t>North West – Chittenden &amp; St. Albans</w:t>
      </w:r>
    </w:p>
    <w:p w:rsidR="00432903" w:rsidRDefault="00432903" w:rsidP="00432903">
      <w:pPr>
        <w:pStyle w:val="ListParagraph"/>
        <w:numPr>
          <w:ilvl w:val="0"/>
          <w:numId w:val="50"/>
        </w:numPr>
        <w:spacing w:after="100" w:afterAutospacing="1" w:line="256" w:lineRule="auto"/>
      </w:pPr>
      <w:r>
        <w:t>North East – Newport, St. Johnsbury, Morrisville.</w:t>
      </w:r>
    </w:p>
    <w:p w:rsidR="00432903" w:rsidRPr="000815EB" w:rsidRDefault="00432903" w:rsidP="000815EB">
      <w:pPr>
        <w:pStyle w:val="Heading3"/>
      </w:pPr>
      <w:bookmarkStart w:id="90" w:name="_Toc521488598"/>
      <w:r w:rsidRPr="000815EB">
        <w:t>Quality Improvement Facilitator</w:t>
      </w:r>
      <w:r w:rsidR="000815EB">
        <w:t>—R</w:t>
      </w:r>
      <w:r w:rsidRPr="000815EB">
        <w:t>equirements and Reporting</w:t>
      </w:r>
      <w:bookmarkEnd w:id="90"/>
    </w:p>
    <w:p w:rsidR="00432903" w:rsidRDefault="00432903" w:rsidP="00432903">
      <w:pPr>
        <w:spacing w:after="100" w:afterAutospacing="1" w:line="256" w:lineRule="auto"/>
        <w:rPr>
          <w:rFonts w:ascii="Times New Roman" w:hAnsi="Times New Roman"/>
        </w:rPr>
      </w:pPr>
      <w:r>
        <w:rPr>
          <w:rFonts w:ascii="Times New Roman" w:hAnsi="Times New Roman"/>
        </w:rPr>
        <w:t xml:space="preserve">In order to provide QI support, </w:t>
      </w:r>
      <w:r w:rsidRPr="00610183">
        <w:rPr>
          <w:rFonts w:ascii="Times New Roman" w:hAnsi="Times New Roman"/>
        </w:rPr>
        <w:t xml:space="preserve">QI Facilitators </w:t>
      </w:r>
      <w:r>
        <w:rPr>
          <w:rFonts w:ascii="Times New Roman" w:hAnsi="Times New Roman"/>
        </w:rPr>
        <w:t>are expected to</w:t>
      </w:r>
      <w:r w:rsidRPr="00610183">
        <w:rPr>
          <w:rFonts w:ascii="Times New Roman" w:hAnsi="Times New Roman"/>
        </w:rPr>
        <w:t xml:space="preserve"> maintain expert level knowledge in </w:t>
      </w:r>
      <w:r w:rsidRPr="00610183">
        <w:rPr>
          <w:rFonts w:ascii="Times New Roman" w:hAnsi="Times New Roman"/>
          <w:w w:val="112"/>
        </w:rPr>
        <w:t>Patient-Centered</w:t>
      </w:r>
      <w:r w:rsidRPr="00610183">
        <w:rPr>
          <w:rFonts w:ascii="Times New Roman" w:hAnsi="Times New Roman"/>
          <w:spacing w:val="8"/>
          <w:w w:val="112"/>
        </w:rPr>
        <w:t xml:space="preserve"> </w:t>
      </w:r>
      <w:r w:rsidRPr="00610183">
        <w:rPr>
          <w:rFonts w:ascii="Times New Roman" w:hAnsi="Times New Roman"/>
        </w:rPr>
        <w:t xml:space="preserve">Medical Home (PCMH) and </w:t>
      </w:r>
      <w:r w:rsidRPr="00610183">
        <w:rPr>
          <w:rFonts w:ascii="Times New Roman" w:hAnsi="Times New Roman"/>
          <w:w w:val="111"/>
        </w:rPr>
        <w:t>Patient-Centered</w:t>
      </w:r>
      <w:r w:rsidRPr="00610183">
        <w:rPr>
          <w:rFonts w:ascii="Times New Roman" w:hAnsi="Times New Roman"/>
          <w:spacing w:val="23"/>
          <w:w w:val="111"/>
        </w:rPr>
        <w:t xml:space="preserve"> </w:t>
      </w:r>
      <w:r w:rsidRPr="00610183">
        <w:rPr>
          <w:rFonts w:ascii="Times New Roman" w:hAnsi="Times New Roman"/>
          <w:w w:val="111"/>
        </w:rPr>
        <w:t>Specialty</w:t>
      </w:r>
      <w:r w:rsidRPr="00610183">
        <w:rPr>
          <w:rFonts w:ascii="Times New Roman" w:hAnsi="Times New Roman"/>
          <w:spacing w:val="-14"/>
          <w:w w:val="111"/>
        </w:rPr>
        <w:t xml:space="preserve"> </w:t>
      </w:r>
      <w:r w:rsidRPr="00610183">
        <w:rPr>
          <w:rFonts w:ascii="Times New Roman" w:hAnsi="Times New Roman"/>
          <w:w w:val="111"/>
        </w:rPr>
        <w:t>Practice</w:t>
      </w:r>
      <w:r w:rsidRPr="00610183">
        <w:rPr>
          <w:rFonts w:ascii="Times New Roman" w:hAnsi="Times New Roman"/>
          <w:spacing w:val="4"/>
          <w:w w:val="111"/>
        </w:rPr>
        <w:t xml:space="preserve"> (</w:t>
      </w:r>
      <w:r w:rsidRPr="00610183">
        <w:rPr>
          <w:rFonts w:ascii="Times New Roman" w:hAnsi="Times New Roman"/>
        </w:rPr>
        <w:t>PCSP) or other standards</w:t>
      </w:r>
      <w:r>
        <w:rPr>
          <w:rFonts w:ascii="Times New Roman" w:hAnsi="Times New Roman"/>
        </w:rPr>
        <w:t>, as applicable</w:t>
      </w:r>
      <w:r w:rsidRPr="00610183">
        <w:rPr>
          <w:rFonts w:ascii="Times New Roman" w:hAnsi="Times New Roman"/>
        </w:rPr>
        <w:t>.</w:t>
      </w:r>
      <w:r>
        <w:rPr>
          <w:rFonts w:ascii="Times New Roman" w:hAnsi="Times New Roman"/>
        </w:rPr>
        <w:t xml:space="preserve"> QI Facilitators are also expected to develop expert level skills in QI processes and techniques, as well as a high level of knowledge of Vermont’s Quality and Health Reform efforts. </w:t>
      </w:r>
    </w:p>
    <w:p w:rsidR="00432903" w:rsidRDefault="00432903" w:rsidP="00432903">
      <w:pPr>
        <w:spacing w:after="100" w:afterAutospacing="1" w:line="256" w:lineRule="auto"/>
        <w:rPr>
          <w:rFonts w:ascii="Times New Roman" w:hAnsi="Times New Roman"/>
        </w:rPr>
      </w:pPr>
      <w:r>
        <w:rPr>
          <w:rFonts w:ascii="Times New Roman" w:hAnsi="Times New Roman"/>
        </w:rPr>
        <w:t xml:space="preserve">QI Facilitators </w:t>
      </w:r>
      <w:r w:rsidRPr="00610183">
        <w:rPr>
          <w:rFonts w:ascii="Times New Roman" w:hAnsi="Times New Roman"/>
        </w:rPr>
        <w:t>provide peer-to-peer mentoring and support to other QI Facilitators, Accountable Care Organizations (ACOs) and Blueprint staff, based on expert level knowledge and experience in the NCQA PCMH and PCSP or other standards, which may include sharing information and examples of processes that have passed review, interpreting feedback from NCQA or other body on submission, providing shadowing opportunities</w:t>
      </w:r>
      <w:r>
        <w:rPr>
          <w:rFonts w:ascii="Times New Roman" w:hAnsi="Times New Roman"/>
        </w:rPr>
        <w:t>,</w:t>
      </w:r>
      <w:r w:rsidRPr="00610183">
        <w:rPr>
          <w:rFonts w:ascii="Times New Roman" w:hAnsi="Times New Roman"/>
        </w:rPr>
        <w:t xml:space="preserve"> and hosting education sessions during facilitator and field staff meetings</w:t>
      </w:r>
      <w:r>
        <w:rPr>
          <w:rFonts w:ascii="Times New Roman" w:hAnsi="Times New Roman"/>
        </w:rPr>
        <w:t>.</w:t>
      </w:r>
    </w:p>
    <w:p w:rsidR="00432903" w:rsidRDefault="00432903" w:rsidP="00432903">
      <w:pPr>
        <w:spacing w:after="100" w:afterAutospacing="1" w:line="256" w:lineRule="auto"/>
        <w:rPr>
          <w:rFonts w:ascii="Times New Roman" w:hAnsi="Times New Roman"/>
        </w:rPr>
      </w:pPr>
      <w:r w:rsidRPr="00610183">
        <w:rPr>
          <w:rFonts w:ascii="Times New Roman" w:hAnsi="Times New Roman"/>
        </w:rPr>
        <w:t>QI Facilitators shall be responsive to other Facilitator</w:t>
      </w:r>
      <w:r>
        <w:rPr>
          <w:rFonts w:ascii="Times New Roman" w:hAnsi="Times New Roman"/>
        </w:rPr>
        <w:t>s</w:t>
      </w:r>
      <w:r w:rsidRPr="00610183">
        <w:rPr>
          <w:rFonts w:ascii="Times New Roman" w:hAnsi="Times New Roman"/>
        </w:rPr>
        <w:t>, ACO, and Blueprint staff questions; providing consultation through phone, email, and predominately a web-based communication and informatio</w:t>
      </w:r>
      <w:r>
        <w:rPr>
          <w:rFonts w:ascii="Times New Roman" w:hAnsi="Times New Roman"/>
        </w:rPr>
        <w:t>n-sharing tool (i.e., Basecamp). QI facilitators are expected to attend facilitator meetings, field staff meetings, regional check-in meetings, and project administrator calls.</w:t>
      </w:r>
    </w:p>
    <w:p w:rsidR="00432903" w:rsidRDefault="00432903" w:rsidP="00432903">
      <w:pPr>
        <w:spacing w:after="100" w:afterAutospacing="1" w:line="256" w:lineRule="auto"/>
      </w:pPr>
      <w:r>
        <w:rPr>
          <w:rFonts w:ascii="Times New Roman" w:hAnsi="Times New Roman"/>
        </w:rPr>
        <w:t>QI Facilitators are expected to submit all required QI plans and progress reports</w:t>
      </w:r>
      <w:r w:rsidRPr="00610183">
        <w:rPr>
          <w:rFonts w:ascii="Times New Roman" w:hAnsi="Times New Roman"/>
        </w:rPr>
        <w:t xml:space="preserve"> </w:t>
      </w:r>
      <w:r>
        <w:rPr>
          <w:rFonts w:ascii="Times New Roman" w:hAnsi="Times New Roman"/>
        </w:rPr>
        <w:t xml:space="preserve">within the timelines specified in Blueprint grants/contracts. </w:t>
      </w:r>
    </w:p>
    <w:p w:rsidR="00933540" w:rsidRDefault="00933540" w:rsidP="00933540"/>
    <w:p w:rsidR="00933540" w:rsidRDefault="00933540" w:rsidP="000815EB">
      <w:pPr>
        <w:pStyle w:val="Heading2"/>
      </w:pPr>
      <w:bookmarkStart w:id="91" w:name="_Toc521488599"/>
      <w:r>
        <w:t>Community-Based Self-Management Peer Support Programs</w:t>
      </w:r>
      <w:bookmarkEnd w:id="91"/>
    </w:p>
    <w:p w:rsidR="00933540" w:rsidRDefault="00933540" w:rsidP="00933540">
      <w:pPr>
        <w:tabs>
          <w:tab w:val="left" w:pos="720"/>
          <w:tab w:val="left" w:pos="1296"/>
          <w:tab w:val="left" w:pos="4464"/>
          <w:tab w:val="left" w:pos="5040"/>
        </w:tabs>
        <w:suppressAutoHyphens/>
        <w:spacing w:after="240"/>
        <w:contextualSpacing/>
        <w:rPr>
          <w:rFonts w:ascii="Times New Roman" w:hAnsi="Times New Roman"/>
        </w:rPr>
      </w:pPr>
    </w:p>
    <w:p w:rsidR="00933540" w:rsidRDefault="00933540" w:rsidP="00933540">
      <w:pPr>
        <w:rPr>
          <w:rFonts w:ascii="Times New Roman" w:hAnsi="Times New Roman"/>
        </w:rPr>
      </w:pPr>
      <w:r w:rsidRPr="00101A46">
        <w:rPr>
          <w:rFonts w:ascii="Times New Roman" w:hAnsi="Times New Roman"/>
        </w:rPr>
        <w:t xml:space="preserve">Locally-based regional coordinators, hired by the administrative entities, and collaborating partners such as the area agencies on aging, </w:t>
      </w:r>
      <w:r>
        <w:rPr>
          <w:rFonts w:ascii="Times New Roman" w:hAnsi="Times New Roman"/>
        </w:rPr>
        <w:t>SASH</w:t>
      </w:r>
      <w:r w:rsidRPr="00101A46">
        <w:rPr>
          <w:rFonts w:ascii="Times New Roman" w:hAnsi="Times New Roman"/>
        </w:rPr>
        <w:t xml:space="preserve">, designated mental health agencies, and peer organizations, offer opportunities to engage Vermonters in </w:t>
      </w:r>
      <w:r>
        <w:rPr>
          <w:rFonts w:ascii="Times New Roman" w:hAnsi="Times New Roman"/>
        </w:rPr>
        <w:t>peer support</w:t>
      </w:r>
      <w:r w:rsidRPr="00101A46">
        <w:rPr>
          <w:rFonts w:ascii="Times New Roman" w:hAnsi="Times New Roman"/>
        </w:rPr>
        <w:t xml:space="preserve"> self-management programs to support Vermonters in improving and maintaining their own health. The self-management programs are available throughout the State of Vermont, at no-charge to Vermont residents, and include six (6) evidence-based, workshops designed to facilitate peer support: </w:t>
      </w:r>
      <w:r w:rsidR="002F0824">
        <w:rPr>
          <w:rFonts w:ascii="Times New Roman" w:hAnsi="Times New Roman"/>
        </w:rPr>
        <w:t>the Self-Management Resource Center’s</w:t>
      </w:r>
      <w:r w:rsidRPr="00101A46">
        <w:rPr>
          <w:rFonts w:ascii="Times New Roman" w:hAnsi="Times New Roman"/>
        </w:rPr>
        <w:t xml:space="preserve"> Chronic Disease Self-Management Program, Diabetes Self -Management Program, Chronic Pain Self-Management Program</w:t>
      </w:r>
      <w:r w:rsidR="002F0824">
        <w:rPr>
          <w:rFonts w:ascii="Times New Roman" w:hAnsi="Times New Roman"/>
        </w:rPr>
        <w:t xml:space="preserve">, Workplace Chronic Disease Self-Management, </w:t>
      </w:r>
      <w:r w:rsidRPr="00101A46">
        <w:rPr>
          <w:rFonts w:ascii="Times New Roman" w:hAnsi="Times New Roman"/>
        </w:rPr>
        <w:t>(known in Vermont as Healthier Living Workshops for Chronic Disease, Diabetes, and Chronic Pain, respectively); the Vermont Quit Partners Fresh</w:t>
      </w:r>
      <w:r>
        <w:rPr>
          <w:rFonts w:ascii="Times New Roman" w:hAnsi="Times New Roman"/>
        </w:rPr>
        <w:t>S</w:t>
      </w:r>
      <w:r w:rsidRPr="00101A46">
        <w:rPr>
          <w:rFonts w:ascii="Times New Roman" w:hAnsi="Times New Roman"/>
        </w:rPr>
        <w:t>tart tobacco cessation in-person workshops</w:t>
      </w:r>
      <w:r w:rsidR="002F0824">
        <w:rPr>
          <w:rFonts w:ascii="Times New Roman" w:hAnsi="Times New Roman"/>
        </w:rPr>
        <w:t xml:space="preserve">, Not On Tobacco for Adolescents, </w:t>
      </w:r>
      <w:r w:rsidRPr="00101A46">
        <w:rPr>
          <w:rFonts w:ascii="Times New Roman" w:hAnsi="Times New Roman"/>
        </w:rPr>
        <w:t>the Copeland Center Wellness Recovery Action Planning (WRAP</w:t>
      </w:r>
      <w:r w:rsidR="002F0824">
        <w:rPr>
          <w:rFonts w:ascii="Times New Roman" w:hAnsi="Times New Roman"/>
        </w:rPr>
        <w:t xml:space="preserve"> for Adults and Adolescents</w:t>
      </w:r>
      <w:r w:rsidRPr="00101A46">
        <w:rPr>
          <w:rFonts w:ascii="Times New Roman" w:hAnsi="Times New Roman"/>
        </w:rPr>
        <w:t>), and the</w:t>
      </w:r>
      <w:r w:rsidR="002F0824">
        <w:rPr>
          <w:rFonts w:ascii="Times New Roman" w:hAnsi="Times New Roman"/>
        </w:rPr>
        <w:t xml:space="preserve"> CDC’s</w:t>
      </w:r>
      <w:r w:rsidRPr="00101A46">
        <w:rPr>
          <w:rFonts w:ascii="Times New Roman" w:hAnsi="Times New Roman"/>
        </w:rPr>
        <w:t xml:space="preserve"> Diabetes </w:t>
      </w:r>
      <w:r w:rsidRPr="00101A46">
        <w:rPr>
          <w:rFonts w:ascii="Times New Roman" w:hAnsi="Times New Roman"/>
        </w:rPr>
        <w:lastRenderedPageBreak/>
        <w:t>Prevention Program (</w:t>
      </w:r>
      <w:r w:rsidR="002F0824">
        <w:rPr>
          <w:rFonts w:ascii="Times New Roman" w:hAnsi="Times New Roman"/>
        </w:rPr>
        <w:t>Prevent T2 Curriculum delivered in-person or online</w:t>
      </w:r>
      <w:r w:rsidRPr="00101A46">
        <w:rPr>
          <w:rFonts w:ascii="Times New Roman" w:hAnsi="Times New Roman"/>
        </w:rPr>
        <w:t>).</w:t>
      </w:r>
      <w:r w:rsidR="002F0824">
        <w:rPr>
          <w:rFonts w:ascii="Times New Roman" w:hAnsi="Times New Roman"/>
        </w:rPr>
        <w:t xml:space="preserve"> For information on program measures, expectations of master trainers and workshop leaders, program costs and stipends, regional coordinator expectations, and marketing materials, please refer to the </w:t>
      </w:r>
      <w:r w:rsidR="00C83FBB">
        <w:rPr>
          <w:rFonts w:ascii="Times New Roman" w:hAnsi="Times New Roman"/>
        </w:rPr>
        <w:t>Regional Coordinator Operations</w:t>
      </w:r>
      <w:r w:rsidR="002F0824">
        <w:rPr>
          <w:rFonts w:ascii="Times New Roman" w:hAnsi="Times New Roman"/>
        </w:rPr>
        <w:t xml:space="preserve"> Manual.</w:t>
      </w:r>
      <w:r w:rsidR="00C83FBB" w:rsidRPr="00C83FBB">
        <w:t xml:space="preserve"> </w:t>
      </w:r>
      <w:hyperlink r:id="rId24" w:history="1">
        <w:r w:rsidR="00C83FBB" w:rsidRPr="00676A38">
          <w:rPr>
            <w:rStyle w:val="Hyperlink"/>
            <w:rFonts w:ascii="Times New Roman" w:hAnsi="Times New Roman"/>
          </w:rPr>
          <w:t>http://blueprintforhealth.vermont.gov/sites/bfh/files/documents/Regional%20Coordinator%20Operations%20Manual%20v2.0.pdf</w:t>
        </w:r>
      </w:hyperlink>
    </w:p>
    <w:p w:rsidR="00C83FBB" w:rsidRPr="00101A46" w:rsidRDefault="00C83FBB" w:rsidP="00933540">
      <w:pPr>
        <w:rPr>
          <w:rFonts w:ascii="Times New Roman" w:hAnsi="Times New Roman"/>
        </w:rPr>
      </w:pPr>
    </w:p>
    <w:p w:rsidR="00933540" w:rsidRDefault="00933540" w:rsidP="00933540">
      <w:pPr>
        <w:tabs>
          <w:tab w:val="left" w:pos="720"/>
          <w:tab w:val="left" w:pos="1296"/>
          <w:tab w:val="left" w:pos="4464"/>
          <w:tab w:val="left" w:pos="5040"/>
        </w:tabs>
        <w:suppressAutoHyphens/>
        <w:spacing w:after="240"/>
        <w:contextualSpacing/>
        <w:rPr>
          <w:rFonts w:ascii="Times New Roman" w:hAnsi="Times New Roman"/>
        </w:rPr>
      </w:pPr>
    </w:p>
    <w:p w:rsidR="00933540" w:rsidRDefault="00933540" w:rsidP="00933540">
      <w:pPr>
        <w:tabs>
          <w:tab w:val="left" w:pos="720"/>
          <w:tab w:val="left" w:pos="1296"/>
          <w:tab w:val="left" w:pos="4464"/>
          <w:tab w:val="left" w:pos="5040"/>
        </w:tabs>
        <w:suppressAutoHyphens/>
        <w:spacing w:after="240"/>
        <w:contextualSpacing/>
        <w:rPr>
          <w:rFonts w:ascii="Times New Roman" w:hAnsi="Times New Roman"/>
        </w:rPr>
      </w:pPr>
      <w:r w:rsidRPr="007527DD">
        <w:rPr>
          <w:rFonts w:ascii="Times New Roman" w:hAnsi="Times New Roman"/>
        </w:rPr>
        <w:t>The Project Manager shall meet with the Regional Coordinator at least monthly, and more frequently upon the request of the State, to review progress towards performance goals.</w:t>
      </w: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r w:rsidRPr="007527DD">
        <w:rPr>
          <w:rFonts w:ascii="Times New Roman" w:hAnsi="Times New Roman"/>
        </w:rPr>
        <w:t>The Regional Coordinator shall:</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widowControl w:val="0"/>
        <w:numPr>
          <w:ilvl w:val="0"/>
          <w:numId w:val="41"/>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 xml:space="preserve">Oversee local planning, participant recruitment, implementation, and evaluation of the community-based self-management programs. With support from the </w:t>
      </w:r>
      <w:r>
        <w:rPr>
          <w:rFonts w:ascii="Times New Roman" w:hAnsi="Times New Roman"/>
        </w:rPr>
        <w:t>Administrative Entity</w:t>
      </w:r>
      <w:r w:rsidRPr="007527DD">
        <w:rPr>
          <w:rFonts w:ascii="Times New Roman" w:hAnsi="Times New Roman"/>
        </w:rPr>
        <w:t xml:space="preserve">, the State, and the State’s designee for statewide self-management program coordination, the Regional Coordinator </w:t>
      </w:r>
      <w:r>
        <w:rPr>
          <w:rFonts w:ascii="Times New Roman" w:hAnsi="Times New Roman"/>
        </w:rPr>
        <w:t>shall</w:t>
      </w:r>
      <w:r w:rsidRPr="007527DD">
        <w:rPr>
          <w:rFonts w:ascii="Times New Roman" w:hAnsi="Times New Roman"/>
        </w:rPr>
        <w:t xml:space="preserve"> recruit key representatives and referral sources from community organizations (including, but not limited to, CHT, MAT, WHI, SASH, VDH district offices, Area Agencies on Aging (AAAs), designated mental health and substance use disorder treatment agencies, health insurers, ACOs, and local employers) to partner in implementing the workshops and to participate in a statewide learning collaborative and local quality improvement work group for increasing the number of workshops hosted and workshop attendance at the local level. The </w:t>
      </w:r>
      <w:r>
        <w:rPr>
          <w:rFonts w:ascii="Times New Roman" w:hAnsi="Times New Roman"/>
        </w:rPr>
        <w:t>Administrative Entity</w:t>
      </w:r>
      <w:r w:rsidRPr="007527DD">
        <w:rPr>
          <w:rFonts w:ascii="Times New Roman" w:hAnsi="Times New Roman"/>
        </w:rPr>
        <w:t xml:space="preserve"> may elect to integrate the work group into an existing local meeting or committee, as long as the goals of collaboration on QI projects aimed at growing the self-management program within the Health Service Area are met.</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widowControl w:val="0"/>
        <w:numPr>
          <w:ilvl w:val="0"/>
          <w:numId w:val="41"/>
        </w:numPr>
        <w:tabs>
          <w:tab w:val="left" w:pos="720"/>
          <w:tab w:val="left" w:pos="1296"/>
          <w:tab w:val="left" w:pos="4464"/>
          <w:tab w:val="left" w:pos="5040"/>
        </w:tabs>
        <w:suppressAutoHyphens/>
        <w:spacing w:before="120" w:after="240"/>
        <w:contextualSpacing/>
        <w:rPr>
          <w:rFonts w:ascii="Times New Roman" w:hAnsi="Times New Roman"/>
        </w:rPr>
      </w:pPr>
      <w:r>
        <w:rPr>
          <w:rFonts w:ascii="Times New Roman" w:hAnsi="Times New Roman"/>
        </w:rPr>
        <w:t xml:space="preserve">Collaborate with primary community partners </w:t>
      </w:r>
      <w:r w:rsidRPr="007527DD">
        <w:rPr>
          <w:rFonts w:ascii="Times New Roman" w:hAnsi="Times New Roman"/>
        </w:rPr>
        <w:t xml:space="preserve">to develop a community-level self-management program implementation plan, including identification of areas and opportunities for improvement and novel delivery ideas to test. Implementation plans shall identify target goals, strategies, responsible parties, methods for measuring success, and data on the outcomes following a test of change (Plan Do Study Act (PDSA) cycle).  </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widowControl w:val="0"/>
        <w:numPr>
          <w:ilvl w:val="0"/>
          <w:numId w:val="41"/>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Review data on progress</w:t>
      </w:r>
      <w:r w:rsidR="00C43A2A">
        <w:rPr>
          <w:rFonts w:ascii="Times New Roman" w:hAnsi="Times New Roman"/>
        </w:rPr>
        <w:t xml:space="preserve"> with</w:t>
      </w:r>
      <w:r w:rsidRPr="007527DD">
        <w:rPr>
          <w:rFonts w:ascii="Times New Roman" w:hAnsi="Times New Roman"/>
        </w:rPr>
        <w:t xml:space="preserve"> key stakeholders (such as through local Community Collaborative leadership team and advisory committee meetings, local care management learning collaborative meetings, and extended and core CHT meetings) at least quarterly and include data that compares self-management program progress within the Health Service Area to other Health Service Areas, the statewide average, and national progress. Data from other Health Service Areas, the statewide average, and national progress </w:t>
      </w:r>
      <w:r>
        <w:rPr>
          <w:rFonts w:ascii="Times New Roman" w:hAnsi="Times New Roman"/>
        </w:rPr>
        <w:t>must</w:t>
      </w:r>
      <w:r w:rsidRPr="007527DD">
        <w:rPr>
          <w:rFonts w:ascii="Times New Roman" w:hAnsi="Times New Roman"/>
        </w:rPr>
        <w:t xml:space="preserve"> be made available by the State or its designee for this purpose.</w:t>
      </w:r>
      <w:r w:rsidRPr="007527DD">
        <w:rPr>
          <w:rFonts w:ascii="Times New Roman" w:hAnsi="Times New Roman"/>
        </w:rPr>
        <w:br/>
      </w:r>
    </w:p>
    <w:p w:rsidR="00933540" w:rsidRPr="007527DD" w:rsidRDefault="00933540" w:rsidP="00933540">
      <w:pPr>
        <w:widowControl w:val="0"/>
        <w:numPr>
          <w:ilvl w:val="0"/>
          <w:numId w:val="41"/>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Build relationships with community partners, and work with these partners to implement best practice strategies, such as:</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Identifying a list of target participants served by partnering organizations and outreaching to them to enroll in workshops;</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 xml:space="preserve">Providing workshops where target populations already convene, such as worksites and </w:t>
      </w:r>
      <w:r w:rsidRPr="007527DD">
        <w:rPr>
          <w:rFonts w:ascii="Times New Roman" w:hAnsi="Times New Roman"/>
        </w:rPr>
        <w:lastRenderedPageBreak/>
        <w:t>senior meal sites;</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Coupling programs with worksite wellness programs and health risk assessments;</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Using social media to market and promote workshops;</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Providing incentives for workshop completion; and</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Outreaching to currently hospitalized patients.</w:t>
      </w:r>
    </w:p>
    <w:p w:rsidR="00933540" w:rsidRPr="007527DD" w:rsidRDefault="00933540" w:rsidP="00933540">
      <w:pPr>
        <w:tabs>
          <w:tab w:val="left" w:pos="720"/>
          <w:tab w:val="left" w:pos="1296"/>
          <w:tab w:val="left" w:pos="4464"/>
          <w:tab w:val="left" w:pos="5040"/>
        </w:tabs>
        <w:suppressAutoHyphens/>
        <w:spacing w:after="240"/>
        <w:ind w:left="1008"/>
        <w:contextualSpacing/>
        <w:rPr>
          <w:rFonts w:ascii="Times New Roman" w:hAnsi="Times New Roman"/>
        </w:rPr>
      </w:pPr>
    </w:p>
    <w:p w:rsidR="00933540" w:rsidRPr="007527DD" w:rsidRDefault="00933540" w:rsidP="00933540">
      <w:pPr>
        <w:widowControl w:val="0"/>
        <w:numPr>
          <w:ilvl w:val="0"/>
          <w:numId w:val="41"/>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Collaborate with community partners to develop</w:t>
      </w:r>
      <w:r>
        <w:rPr>
          <w:rFonts w:ascii="Times New Roman" w:hAnsi="Times New Roman"/>
        </w:rPr>
        <w:t xml:space="preserve"> (or update)</w:t>
      </w:r>
      <w:r w:rsidRPr="007527DD">
        <w:rPr>
          <w:rFonts w:ascii="Times New Roman" w:hAnsi="Times New Roman"/>
        </w:rPr>
        <w:t xml:space="preserve"> and document streamlined referral protocols (at least five (5) per grant year) into the self-management programs. Some examples of successful referral pathways include, but are not limited to:</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Certified Diabetes Educators (CDEs) on CHT staff referring patients into HLW – Diabetes workshops;</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Blueprint primary care practices (PCPs) performing panel management on specific conditions for NCQA certification referring patients into appropriate workshops;</w:t>
      </w:r>
    </w:p>
    <w:p w:rsidR="00933540"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PCPs prescribing opioids to patients for chronic pain referring patients into HLW – Chronic Pain workshops, when applicable;</w:t>
      </w:r>
    </w:p>
    <w:p w:rsidR="00806BFF" w:rsidRPr="007527DD" w:rsidRDefault="00806BFF"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Pr>
          <w:rFonts w:ascii="Times New Roman" w:hAnsi="Times New Roman"/>
        </w:rPr>
        <w:t xml:space="preserve">Vermont Chronic Care Initiative case managers referring patients to the appropriate self-management programs; </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Local Vermont Department of Health (VDH) WIC program representatives referring pregnant women and new mothers into tobacco cessation workshops, when applicable; and</w:t>
      </w:r>
    </w:p>
    <w:p w:rsidR="00933540" w:rsidRPr="007527DD" w:rsidRDefault="00933540" w:rsidP="00933540">
      <w:pPr>
        <w:widowControl w:val="0"/>
        <w:numPr>
          <w:ilvl w:val="0"/>
          <w:numId w:val="44"/>
        </w:numPr>
        <w:tabs>
          <w:tab w:val="left" w:pos="720"/>
          <w:tab w:val="left" w:pos="1296"/>
          <w:tab w:val="left" w:pos="4464"/>
          <w:tab w:val="left" w:pos="5040"/>
        </w:tabs>
        <w:suppressAutoHyphens/>
        <w:spacing w:before="120" w:after="240"/>
        <w:ind w:left="1008"/>
        <w:contextualSpacing/>
        <w:rPr>
          <w:rFonts w:ascii="Times New Roman" w:hAnsi="Times New Roman"/>
        </w:rPr>
      </w:pPr>
      <w:r w:rsidRPr="007527DD">
        <w:rPr>
          <w:rFonts w:ascii="Times New Roman" w:hAnsi="Times New Roman"/>
        </w:rPr>
        <w:t>Local Integrated Care Management Learning Collaborative pilot referring enrolled patients to appropriate workshop(s) for their condition(s).</w:t>
      </w:r>
    </w:p>
    <w:p w:rsidR="00933540" w:rsidRPr="007527DD" w:rsidRDefault="00933540" w:rsidP="00933540">
      <w:pPr>
        <w:tabs>
          <w:tab w:val="left" w:pos="720"/>
          <w:tab w:val="left" w:pos="1296"/>
          <w:tab w:val="left" w:pos="4464"/>
          <w:tab w:val="left" w:pos="5040"/>
        </w:tabs>
        <w:suppressAutoHyphens/>
        <w:spacing w:after="240"/>
        <w:ind w:left="1008"/>
        <w:contextualSpacing/>
        <w:rPr>
          <w:rFonts w:ascii="Times New Roman" w:hAnsi="Times New Roman"/>
        </w:rPr>
      </w:pPr>
    </w:p>
    <w:p w:rsidR="00933540" w:rsidRPr="007527DD" w:rsidRDefault="00933540" w:rsidP="00933540">
      <w:pPr>
        <w:widowControl w:val="0"/>
        <w:numPr>
          <w:ilvl w:val="0"/>
          <w:numId w:val="41"/>
        </w:numPr>
        <w:tabs>
          <w:tab w:val="left" w:pos="720"/>
          <w:tab w:val="left" w:pos="1296"/>
          <w:tab w:val="left" w:pos="4464"/>
          <w:tab w:val="left" w:pos="5040"/>
        </w:tabs>
        <w:suppressAutoHyphens/>
        <w:spacing w:before="120" w:after="240"/>
        <w:contextualSpacing/>
        <w:rPr>
          <w:rFonts w:ascii="Times New Roman" w:hAnsi="Times New Roman"/>
        </w:rPr>
      </w:pPr>
      <w:r>
        <w:rPr>
          <w:rFonts w:ascii="Times New Roman" w:hAnsi="Times New Roman"/>
        </w:rPr>
        <w:t xml:space="preserve">Honor requests from organizations or residents in the HSA </w:t>
      </w:r>
      <w:r w:rsidRPr="007527DD">
        <w:rPr>
          <w:rFonts w:ascii="Times New Roman" w:hAnsi="Times New Roman"/>
        </w:rPr>
        <w:t>to offer workshops in diverse locations</w:t>
      </w:r>
      <w:r>
        <w:rPr>
          <w:rFonts w:ascii="Times New Roman" w:hAnsi="Times New Roman"/>
        </w:rPr>
        <w:t xml:space="preserve"> within the HSA</w:t>
      </w:r>
      <w:r w:rsidRPr="007527DD">
        <w:rPr>
          <w:rFonts w:ascii="Times New Roman" w:hAnsi="Times New Roman"/>
        </w:rPr>
        <w:t>, including, but not limited to:</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widowControl w:val="0"/>
        <w:numPr>
          <w:ilvl w:val="1"/>
          <w:numId w:val="45"/>
        </w:numPr>
        <w:tabs>
          <w:tab w:val="left" w:pos="1296"/>
          <w:tab w:val="left" w:pos="4464"/>
          <w:tab w:val="left" w:pos="5040"/>
        </w:tabs>
        <w:suppressAutoHyphens/>
        <w:spacing w:before="120" w:after="120"/>
        <w:rPr>
          <w:rFonts w:ascii="Times New Roman" w:hAnsi="Times New Roman"/>
        </w:rPr>
      </w:pPr>
      <w:r w:rsidRPr="007527DD">
        <w:rPr>
          <w:rFonts w:ascii="Times New Roman" w:hAnsi="Times New Roman"/>
        </w:rPr>
        <w:t xml:space="preserve">Employer work sites; </w:t>
      </w:r>
    </w:p>
    <w:p w:rsidR="00933540" w:rsidRPr="007527DD" w:rsidRDefault="00933540" w:rsidP="00933540">
      <w:pPr>
        <w:widowControl w:val="0"/>
        <w:numPr>
          <w:ilvl w:val="1"/>
          <w:numId w:val="45"/>
        </w:numPr>
        <w:tabs>
          <w:tab w:val="left" w:pos="1296"/>
          <w:tab w:val="left" w:pos="4464"/>
          <w:tab w:val="left" w:pos="5040"/>
        </w:tabs>
        <w:suppressAutoHyphens/>
        <w:spacing w:before="120" w:after="120"/>
        <w:rPr>
          <w:rFonts w:ascii="Times New Roman" w:hAnsi="Times New Roman"/>
        </w:rPr>
      </w:pPr>
      <w:r w:rsidRPr="007527DD">
        <w:rPr>
          <w:rFonts w:ascii="Times New Roman" w:hAnsi="Times New Roman"/>
        </w:rPr>
        <w:t>Designated Agency offices;</w:t>
      </w:r>
      <w:r w:rsidRPr="007527DD">
        <w:rPr>
          <w:rFonts w:ascii="Times New Roman" w:hAnsi="Times New Roman"/>
        </w:rPr>
        <w:tab/>
      </w:r>
    </w:p>
    <w:p w:rsidR="00933540" w:rsidRPr="007527DD" w:rsidRDefault="00933540" w:rsidP="00933540">
      <w:pPr>
        <w:widowControl w:val="0"/>
        <w:numPr>
          <w:ilvl w:val="1"/>
          <w:numId w:val="45"/>
        </w:numPr>
        <w:tabs>
          <w:tab w:val="left" w:pos="1296"/>
          <w:tab w:val="left" w:pos="4464"/>
          <w:tab w:val="left" w:pos="5040"/>
        </w:tabs>
        <w:suppressAutoHyphens/>
        <w:spacing w:before="120" w:after="120"/>
        <w:rPr>
          <w:rFonts w:ascii="Times New Roman" w:hAnsi="Times New Roman"/>
        </w:rPr>
      </w:pPr>
      <w:r w:rsidRPr="007527DD">
        <w:rPr>
          <w:rFonts w:ascii="Times New Roman" w:hAnsi="Times New Roman"/>
        </w:rPr>
        <w:t>Designated Regional Housing Office (DRHO) housing facilities;</w:t>
      </w:r>
    </w:p>
    <w:p w:rsidR="00933540" w:rsidRPr="007527DD" w:rsidRDefault="00933540" w:rsidP="00933540">
      <w:pPr>
        <w:widowControl w:val="0"/>
        <w:numPr>
          <w:ilvl w:val="1"/>
          <w:numId w:val="45"/>
        </w:numPr>
        <w:tabs>
          <w:tab w:val="left" w:pos="1296"/>
          <w:tab w:val="left" w:pos="4464"/>
          <w:tab w:val="left" w:pos="5040"/>
        </w:tabs>
        <w:suppressAutoHyphens/>
        <w:spacing w:before="120" w:after="120"/>
        <w:rPr>
          <w:rFonts w:ascii="Times New Roman" w:hAnsi="Times New Roman"/>
        </w:rPr>
      </w:pPr>
      <w:r w:rsidRPr="007527DD">
        <w:rPr>
          <w:rFonts w:ascii="Times New Roman" w:hAnsi="Times New Roman"/>
        </w:rPr>
        <w:t>Meal sites;</w:t>
      </w:r>
    </w:p>
    <w:p w:rsidR="00933540" w:rsidRPr="007527DD" w:rsidRDefault="00933540" w:rsidP="00933540">
      <w:pPr>
        <w:widowControl w:val="0"/>
        <w:numPr>
          <w:ilvl w:val="1"/>
          <w:numId w:val="45"/>
        </w:numPr>
        <w:tabs>
          <w:tab w:val="left" w:pos="1296"/>
          <w:tab w:val="left" w:pos="4464"/>
          <w:tab w:val="left" w:pos="5040"/>
        </w:tabs>
        <w:suppressAutoHyphens/>
        <w:spacing w:before="120" w:after="120"/>
        <w:rPr>
          <w:rFonts w:ascii="Times New Roman" w:hAnsi="Times New Roman"/>
        </w:rPr>
      </w:pPr>
      <w:r w:rsidRPr="007527DD">
        <w:rPr>
          <w:rFonts w:ascii="Times New Roman" w:hAnsi="Times New Roman"/>
        </w:rPr>
        <w:t>Substance use disorder treatment facilities; and</w:t>
      </w:r>
    </w:p>
    <w:p w:rsidR="00933540" w:rsidRPr="007527DD" w:rsidRDefault="00933540" w:rsidP="00933540">
      <w:pPr>
        <w:widowControl w:val="0"/>
        <w:numPr>
          <w:ilvl w:val="1"/>
          <w:numId w:val="45"/>
        </w:numPr>
        <w:tabs>
          <w:tab w:val="left" w:pos="1296"/>
          <w:tab w:val="left" w:pos="4464"/>
          <w:tab w:val="left" w:pos="5040"/>
        </w:tabs>
        <w:suppressAutoHyphens/>
        <w:spacing w:before="120" w:after="120"/>
        <w:rPr>
          <w:rFonts w:ascii="Times New Roman" w:hAnsi="Times New Roman"/>
        </w:rPr>
      </w:pPr>
      <w:r w:rsidRPr="007527DD">
        <w:rPr>
          <w:rFonts w:ascii="Times New Roman" w:hAnsi="Times New Roman"/>
        </w:rPr>
        <w:t>Corrections facilities or transitional housing sites.</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r w:rsidRPr="007527DD">
        <w:rPr>
          <w:rFonts w:ascii="Times New Roman" w:hAnsi="Times New Roman"/>
        </w:rPr>
        <w:t xml:space="preserve">The Regional Coordinator </w:t>
      </w:r>
      <w:r>
        <w:rPr>
          <w:rFonts w:ascii="Times New Roman" w:hAnsi="Times New Roman"/>
        </w:rPr>
        <w:t>shall</w:t>
      </w:r>
      <w:r w:rsidRPr="007527DD">
        <w:rPr>
          <w:rFonts w:ascii="Times New Roman" w:hAnsi="Times New Roman"/>
        </w:rPr>
        <w:t xml:space="preserve"> make every effort to fulfill requests for workshops, where the requesting party can provide the required number of registrants, in a timely manner. The Regional Coordinator shall respond to requests within 48 hours and ensure workshops are offered within 4 weeks of the request or within a mutually agreed upon time period between the requesting party and the </w:t>
      </w:r>
      <w:r>
        <w:rPr>
          <w:rFonts w:ascii="Times New Roman" w:hAnsi="Times New Roman"/>
        </w:rPr>
        <w:t>Administrative Entity</w:t>
      </w:r>
      <w:r w:rsidRPr="007527DD">
        <w:rPr>
          <w:rFonts w:ascii="Times New Roman" w:hAnsi="Times New Roman"/>
        </w:rPr>
        <w:t xml:space="preserve">. </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widowControl w:val="0"/>
        <w:numPr>
          <w:ilvl w:val="0"/>
          <w:numId w:val="41"/>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Attend all regular Regional Coordinator in-person and teleconference meetings scheduled by the State or the State’s designee.</w:t>
      </w: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r>
        <w:rPr>
          <w:rFonts w:ascii="Times New Roman" w:hAnsi="Times New Roman"/>
        </w:rPr>
        <w:t>The</w:t>
      </w:r>
      <w:r w:rsidRPr="007527DD">
        <w:rPr>
          <w:rFonts w:ascii="Times New Roman" w:hAnsi="Times New Roman"/>
        </w:rPr>
        <w:t xml:space="preserve"> </w:t>
      </w:r>
      <w:r>
        <w:rPr>
          <w:rFonts w:ascii="Times New Roman" w:hAnsi="Times New Roman"/>
        </w:rPr>
        <w:t>Administrative Entity</w:t>
      </w:r>
      <w:r w:rsidRPr="007527DD">
        <w:rPr>
          <w:rFonts w:ascii="Times New Roman" w:hAnsi="Times New Roman"/>
        </w:rPr>
        <w:t xml:space="preserve"> shall:</w:t>
      </w:r>
    </w:p>
    <w:p w:rsidR="00933540" w:rsidRPr="007527DD" w:rsidRDefault="00933540" w:rsidP="00933540">
      <w:pPr>
        <w:tabs>
          <w:tab w:val="left" w:pos="720"/>
          <w:tab w:val="left" w:pos="1296"/>
          <w:tab w:val="left" w:pos="4464"/>
          <w:tab w:val="left" w:pos="5040"/>
        </w:tabs>
        <w:suppressAutoHyphens/>
        <w:spacing w:after="240"/>
        <w:ind w:left="360"/>
        <w:contextualSpacing/>
        <w:rPr>
          <w:rFonts w:ascii="Times New Roman" w:hAnsi="Times New Roman"/>
        </w:rPr>
      </w:pPr>
    </w:p>
    <w:p w:rsidR="00933540" w:rsidRPr="007527DD" w:rsidRDefault="00933540" w:rsidP="00933540">
      <w:pPr>
        <w:widowControl w:val="0"/>
        <w:numPr>
          <w:ilvl w:val="0"/>
          <w:numId w:val="42"/>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 xml:space="preserve">Ensure all workshops are led by certified leaders as specified by the State. The Regional Coordinator </w:t>
      </w:r>
      <w:r>
        <w:rPr>
          <w:rFonts w:ascii="Times New Roman" w:hAnsi="Times New Roman"/>
        </w:rPr>
        <w:t xml:space="preserve">shall </w:t>
      </w:r>
      <w:r w:rsidRPr="007527DD">
        <w:rPr>
          <w:rFonts w:ascii="Times New Roman" w:hAnsi="Times New Roman"/>
        </w:rPr>
        <w:t xml:space="preserve">recruit and </w:t>
      </w:r>
      <w:r>
        <w:rPr>
          <w:rFonts w:ascii="Times New Roman" w:hAnsi="Times New Roman"/>
        </w:rPr>
        <w:t>coordinate</w:t>
      </w:r>
      <w:r w:rsidRPr="007527DD">
        <w:rPr>
          <w:rFonts w:ascii="Times New Roman" w:hAnsi="Times New Roman"/>
        </w:rPr>
        <w:t xml:space="preserve"> local workshop leaders, ensuring </w:t>
      </w:r>
      <w:r>
        <w:rPr>
          <w:rFonts w:ascii="Times New Roman" w:hAnsi="Times New Roman"/>
        </w:rPr>
        <w:t>sufficient capacity</w:t>
      </w:r>
      <w:r w:rsidRPr="007527DD">
        <w:rPr>
          <w:rFonts w:ascii="Times New Roman" w:hAnsi="Times New Roman"/>
        </w:rPr>
        <w:t xml:space="preserve"> to facilitate planned workshops without interruption and to staff ad hoc workshops requested based on community need. The </w:t>
      </w:r>
      <w:r>
        <w:rPr>
          <w:rFonts w:ascii="Times New Roman" w:hAnsi="Times New Roman"/>
        </w:rPr>
        <w:t>Administrative Entity</w:t>
      </w:r>
      <w:r w:rsidRPr="007527DD">
        <w:rPr>
          <w:rFonts w:ascii="Times New Roman" w:hAnsi="Times New Roman"/>
        </w:rPr>
        <w:t xml:space="preserve"> shall ensure that the Regional Coordinator reviews workshop evaluations with every leader or leader pair following each workshop and documents a plan for improvement based on workshop fidelity standards</w:t>
      </w:r>
      <w:r>
        <w:rPr>
          <w:rFonts w:ascii="Times New Roman" w:hAnsi="Times New Roman"/>
        </w:rPr>
        <w:t>, as needed</w:t>
      </w:r>
      <w:r w:rsidRPr="007527DD">
        <w:rPr>
          <w:rFonts w:ascii="Times New Roman" w:hAnsi="Times New Roman"/>
        </w:rPr>
        <w:t xml:space="preserve">.  </w:t>
      </w: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p>
    <w:p w:rsidR="00933540" w:rsidRPr="007527DD" w:rsidRDefault="00933540" w:rsidP="00933540">
      <w:pPr>
        <w:widowControl w:val="0"/>
        <w:numPr>
          <w:ilvl w:val="0"/>
          <w:numId w:val="42"/>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Ensure interpreter services from appropriately credentialed interpreters are available to workshop participants upon request.</w:t>
      </w: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r>
        <w:rPr>
          <w:rFonts w:ascii="Times New Roman" w:hAnsi="Times New Roman"/>
        </w:rPr>
        <w:t>The</w:t>
      </w:r>
      <w:r w:rsidRPr="007527DD">
        <w:rPr>
          <w:rFonts w:ascii="Times New Roman" w:hAnsi="Times New Roman"/>
        </w:rPr>
        <w:t xml:space="preserve"> </w:t>
      </w:r>
      <w:r>
        <w:rPr>
          <w:rFonts w:ascii="Times New Roman" w:hAnsi="Times New Roman"/>
        </w:rPr>
        <w:t>Administrative Entity shall</w:t>
      </w:r>
      <w:r w:rsidRPr="007527DD">
        <w:rPr>
          <w:rFonts w:ascii="Times New Roman" w:hAnsi="Times New Roman"/>
        </w:rPr>
        <w:t xml:space="preserve">:  </w:t>
      </w: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p>
    <w:p w:rsidR="00933540" w:rsidRPr="007527DD" w:rsidRDefault="00933540" w:rsidP="00933540">
      <w:pPr>
        <w:widowControl w:val="0"/>
        <w:numPr>
          <w:ilvl w:val="0"/>
          <w:numId w:val="43"/>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Provide registrant (individuals registered for a workshop), participant (individuals attending at least one session of a workshop), completer (individuals attending the designated number of sessions of a workshop to qualify for completion), and outcome data for each workshop to the State or its designee in the format specified. The Regional Coordinator shall</w:t>
      </w:r>
      <w:r>
        <w:rPr>
          <w:rFonts w:ascii="Times New Roman" w:hAnsi="Times New Roman"/>
        </w:rPr>
        <w:t xml:space="preserve"> fully and accurately </w:t>
      </w:r>
      <w:r w:rsidRPr="007527DD">
        <w:rPr>
          <w:rFonts w:ascii="Times New Roman" w:hAnsi="Times New Roman"/>
        </w:rPr>
        <w:t>complete and submit all data and paperwork for self-management programs as specified and required by the State prior to payments being issued.</w:t>
      </w:r>
    </w:p>
    <w:p w:rsidR="00933540" w:rsidRPr="007527DD" w:rsidRDefault="00933540" w:rsidP="00933540">
      <w:pPr>
        <w:tabs>
          <w:tab w:val="left" w:pos="720"/>
          <w:tab w:val="left" w:pos="1296"/>
          <w:tab w:val="left" w:pos="4464"/>
          <w:tab w:val="left" w:pos="5040"/>
        </w:tabs>
        <w:suppressAutoHyphens/>
        <w:spacing w:after="240"/>
        <w:contextualSpacing/>
        <w:rPr>
          <w:rFonts w:ascii="Times New Roman" w:hAnsi="Times New Roman"/>
        </w:rPr>
      </w:pPr>
    </w:p>
    <w:p w:rsidR="00933540" w:rsidRPr="007527DD" w:rsidRDefault="00933540" w:rsidP="00933540">
      <w:pPr>
        <w:widowControl w:val="0"/>
        <w:numPr>
          <w:ilvl w:val="0"/>
          <w:numId w:val="43"/>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Report progress on self-management program implementation plan to the State or its designee at least monthly and more frequently upon request or as needed</w:t>
      </w:r>
      <w:r>
        <w:rPr>
          <w:rFonts w:ascii="Times New Roman" w:hAnsi="Times New Roman"/>
        </w:rPr>
        <w:t>, and in the format requested by the State or the State’s designee</w:t>
      </w:r>
      <w:r w:rsidRPr="007527DD">
        <w:rPr>
          <w:rFonts w:ascii="Times New Roman" w:hAnsi="Times New Roman"/>
        </w:rPr>
        <w:t xml:space="preserve">. </w:t>
      </w:r>
      <w:r w:rsidRPr="007527DD">
        <w:rPr>
          <w:rFonts w:ascii="Times New Roman" w:hAnsi="Times New Roman"/>
        </w:rPr>
        <w:br/>
      </w:r>
    </w:p>
    <w:p w:rsidR="00933540" w:rsidRPr="007527DD" w:rsidRDefault="00933540" w:rsidP="00933540">
      <w:pPr>
        <w:widowControl w:val="0"/>
        <w:numPr>
          <w:ilvl w:val="0"/>
          <w:numId w:val="43"/>
        </w:numPr>
        <w:tabs>
          <w:tab w:val="left" w:pos="720"/>
          <w:tab w:val="left" w:pos="1296"/>
          <w:tab w:val="left" w:pos="4464"/>
          <w:tab w:val="left" w:pos="5040"/>
        </w:tabs>
        <w:suppressAutoHyphens/>
        <w:spacing w:before="120" w:after="240"/>
        <w:contextualSpacing/>
        <w:rPr>
          <w:rFonts w:ascii="Times New Roman" w:hAnsi="Times New Roman"/>
        </w:rPr>
      </w:pPr>
      <w:r w:rsidRPr="007527DD">
        <w:rPr>
          <w:rFonts w:ascii="Times New Roman" w:hAnsi="Times New Roman"/>
        </w:rPr>
        <w:t>Submit updated work plan annually, prior to October 15, to the State or the State’s designee to include, at a minimum:</w:t>
      </w:r>
    </w:p>
    <w:p w:rsidR="00933540" w:rsidRPr="007527DD" w:rsidRDefault="00933540" w:rsidP="00933540">
      <w:pPr>
        <w:tabs>
          <w:tab w:val="left" w:pos="720"/>
          <w:tab w:val="left" w:pos="1296"/>
          <w:tab w:val="left" w:pos="4464"/>
          <w:tab w:val="left" w:pos="5040"/>
        </w:tabs>
        <w:suppressAutoHyphens/>
        <w:spacing w:after="240"/>
        <w:ind w:left="720"/>
        <w:contextualSpacing/>
        <w:rPr>
          <w:rFonts w:ascii="Times New Roman" w:hAnsi="Times New Roman"/>
        </w:rPr>
      </w:pPr>
    </w:p>
    <w:p w:rsidR="00933540" w:rsidRPr="007527DD" w:rsidRDefault="00933540" w:rsidP="00933540">
      <w:pPr>
        <w:widowControl w:val="0"/>
        <w:numPr>
          <w:ilvl w:val="1"/>
          <w:numId w:val="43"/>
        </w:numPr>
        <w:tabs>
          <w:tab w:val="left" w:pos="720"/>
          <w:tab w:val="left" w:pos="1296"/>
          <w:tab w:val="left" w:pos="4464"/>
          <w:tab w:val="left" w:pos="5040"/>
        </w:tabs>
        <w:suppressAutoHyphens/>
        <w:spacing w:before="120" w:after="120"/>
        <w:ind w:left="1080" w:right="1008"/>
        <w:contextualSpacing/>
        <w:outlineLvl w:val="1"/>
        <w:rPr>
          <w:rFonts w:ascii="Times New Roman" w:hAnsi="Times New Roman"/>
        </w:rPr>
      </w:pPr>
      <w:r w:rsidRPr="007527DD">
        <w:rPr>
          <w:rFonts w:ascii="Times New Roman" w:hAnsi="Times New Roman"/>
        </w:rPr>
        <w:t>Target goals and objectives specified for meeting grant deliverables and outcomes;</w:t>
      </w:r>
    </w:p>
    <w:p w:rsidR="00933540" w:rsidRPr="007527DD" w:rsidRDefault="00933540" w:rsidP="00933540">
      <w:pPr>
        <w:widowControl w:val="0"/>
        <w:numPr>
          <w:ilvl w:val="1"/>
          <w:numId w:val="43"/>
        </w:numPr>
        <w:tabs>
          <w:tab w:val="left" w:pos="720"/>
          <w:tab w:val="left" w:pos="1296"/>
          <w:tab w:val="left" w:pos="4464"/>
          <w:tab w:val="left" w:pos="5040"/>
        </w:tabs>
        <w:suppressAutoHyphens/>
        <w:spacing w:before="120" w:after="120"/>
        <w:ind w:left="1080" w:right="1008"/>
        <w:contextualSpacing/>
        <w:outlineLvl w:val="1"/>
        <w:rPr>
          <w:rFonts w:ascii="Times New Roman" w:hAnsi="Times New Roman"/>
        </w:rPr>
      </w:pPr>
      <w:r w:rsidRPr="007527DD">
        <w:rPr>
          <w:rFonts w:ascii="Times New Roman" w:hAnsi="Times New Roman"/>
        </w:rPr>
        <w:t>Action plan;</w:t>
      </w:r>
    </w:p>
    <w:p w:rsidR="00933540" w:rsidRPr="007527DD" w:rsidRDefault="00933540" w:rsidP="00933540">
      <w:pPr>
        <w:widowControl w:val="0"/>
        <w:numPr>
          <w:ilvl w:val="1"/>
          <w:numId w:val="43"/>
        </w:numPr>
        <w:tabs>
          <w:tab w:val="left" w:pos="720"/>
          <w:tab w:val="left" w:pos="1296"/>
          <w:tab w:val="left" w:pos="4464"/>
          <w:tab w:val="left" w:pos="5040"/>
        </w:tabs>
        <w:suppressAutoHyphens/>
        <w:spacing w:before="120" w:after="120"/>
        <w:ind w:left="1080" w:right="1008"/>
        <w:contextualSpacing/>
        <w:outlineLvl w:val="1"/>
        <w:rPr>
          <w:rFonts w:ascii="Times New Roman" w:hAnsi="Times New Roman"/>
        </w:rPr>
      </w:pPr>
      <w:r w:rsidRPr="007527DD">
        <w:rPr>
          <w:rFonts w:ascii="Times New Roman" w:hAnsi="Times New Roman"/>
        </w:rPr>
        <w:t xml:space="preserve">PDSA cycles planned, in-progress, and completed, submitted quarterly; and </w:t>
      </w:r>
    </w:p>
    <w:p w:rsidR="00933540" w:rsidRPr="007527DD" w:rsidRDefault="00933540" w:rsidP="00933540">
      <w:pPr>
        <w:widowControl w:val="0"/>
        <w:numPr>
          <w:ilvl w:val="1"/>
          <w:numId w:val="43"/>
        </w:numPr>
        <w:tabs>
          <w:tab w:val="left" w:pos="720"/>
          <w:tab w:val="left" w:pos="1296"/>
          <w:tab w:val="left" w:pos="4464"/>
          <w:tab w:val="left" w:pos="5040"/>
        </w:tabs>
        <w:suppressAutoHyphens/>
        <w:spacing w:before="120" w:after="120"/>
        <w:ind w:left="1080" w:right="1008"/>
        <w:contextualSpacing/>
        <w:outlineLvl w:val="1"/>
        <w:rPr>
          <w:rFonts w:ascii="Times New Roman" w:hAnsi="Times New Roman"/>
        </w:rPr>
      </w:pPr>
      <w:r w:rsidRPr="007527DD">
        <w:rPr>
          <w:rFonts w:ascii="Times New Roman" w:hAnsi="Times New Roman"/>
        </w:rPr>
        <w:t xml:space="preserve">Identified </w:t>
      </w:r>
      <w:r>
        <w:rPr>
          <w:rFonts w:ascii="Times New Roman" w:hAnsi="Times New Roman"/>
        </w:rPr>
        <w:t>barriers</w:t>
      </w:r>
      <w:r w:rsidRPr="007527DD">
        <w:rPr>
          <w:rFonts w:ascii="Times New Roman" w:hAnsi="Times New Roman"/>
        </w:rPr>
        <w:t xml:space="preserve"> to achieving target goals with proposed mitigation plans.</w:t>
      </w:r>
    </w:p>
    <w:p w:rsidR="00933540" w:rsidRPr="00933540" w:rsidRDefault="00933540" w:rsidP="00933540"/>
    <w:p w:rsidR="007A08BF" w:rsidRDefault="007A08BF" w:rsidP="0019320E">
      <w:pPr>
        <w:spacing w:after="240"/>
        <w:ind w:left="2520"/>
        <w:rPr>
          <w:rFonts w:cs="Arial"/>
        </w:rPr>
      </w:pPr>
    </w:p>
    <w:p w:rsidR="007A08BF" w:rsidRPr="00101A46" w:rsidRDefault="007A08BF" w:rsidP="007A08BF">
      <w:pPr>
        <w:rPr>
          <w:rFonts w:ascii="Times New Roman" w:hAnsi="Times New Roman"/>
          <w:b/>
        </w:rPr>
      </w:pPr>
    </w:p>
    <w:p w:rsidR="0019320E" w:rsidRPr="007678FC" w:rsidRDefault="002550B3" w:rsidP="0019320E">
      <w:pPr>
        <w:spacing w:after="240"/>
        <w:ind w:left="2520"/>
        <w:rPr>
          <w:rFonts w:cs="Arial"/>
        </w:rPr>
      </w:pPr>
      <w:r w:rsidRPr="007678FC">
        <w:rPr>
          <w:rFonts w:cs="Arial"/>
        </w:rPr>
        <w:br w:type="page"/>
      </w:r>
    </w:p>
    <w:p w:rsidR="007700B2" w:rsidRPr="007678FC" w:rsidRDefault="007700B2" w:rsidP="006E05C6">
      <w:pPr>
        <w:pStyle w:val="Heading1"/>
      </w:pPr>
      <w:bookmarkStart w:id="92" w:name="_Toc419884057"/>
      <w:bookmarkStart w:id="93" w:name="_Toc419884337"/>
      <w:bookmarkStart w:id="94" w:name="_Toc440036731"/>
      <w:bookmarkStart w:id="95" w:name="_Toc521488600"/>
      <w:r w:rsidRPr="007678FC">
        <w:lastRenderedPageBreak/>
        <w:t>Patient Attribution &amp; Enhanced Payments</w:t>
      </w:r>
      <w:bookmarkEnd w:id="92"/>
      <w:bookmarkEnd w:id="93"/>
      <w:bookmarkEnd w:id="94"/>
      <w:bookmarkEnd w:id="95"/>
    </w:p>
    <w:p w:rsidR="000A61A1" w:rsidRPr="007678FC" w:rsidRDefault="000A61A1" w:rsidP="000A61A1"/>
    <w:p w:rsidR="009D34E0" w:rsidRPr="007678FC" w:rsidRDefault="000A61A1" w:rsidP="002550B3">
      <w:pPr>
        <w:rPr>
          <w:rFonts w:cs="Arial"/>
        </w:rPr>
      </w:pPr>
      <w:r w:rsidRPr="007678FC">
        <w:rPr>
          <w:rFonts w:cs="Arial"/>
        </w:rPr>
        <w:t xml:space="preserve">Two </w:t>
      </w:r>
      <w:r w:rsidR="00605040" w:rsidRPr="007678FC">
        <w:rPr>
          <w:rFonts w:cs="Arial"/>
        </w:rPr>
        <w:t>Blueprint-specific</w:t>
      </w:r>
      <w:r w:rsidRPr="007678FC">
        <w:rPr>
          <w:rFonts w:cs="Arial"/>
        </w:rPr>
        <w:t xml:space="preserve"> forms of payment shall be received from </w:t>
      </w:r>
      <w:r w:rsidR="00AF52E5" w:rsidRPr="007678FC">
        <w:rPr>
          <w:rFonts w:cs="Arial"/>
        </w:rPr>
        <w:t>Blueprint-participating</w:t>
      </w:r>
      <w:r w:rsidRPr="007678FC">
        <w:rPr>
          <w:rFonts w:cs="Arial"/>
        </w:rPr>
        <w:t xml:space="preserve"> insurers</w:t>
      </w:r>
      <w:r w:rsidR="00AF52E5" w:rsidRPr="007678FC">
        <w:rPr>
          <w:rFonts w:cs="Arial"/>
        </w:rPr>
        <w:t>, or payers,</w:t>
      </w:r>
      <w:r w:rsidRPr="007678FC">
        <w:rPr>
          <w:rFonts w:cs="Arial"/>
        </w:rPr>
        <w:t xml:space="preserve"> to support high quality advanced primary care and well-coordinated health services:  payments to Advanced Primary Care Practices</w:t>
      </w:r>
      <w:r w:rsidR="00D936F9" w:rsidRPr="007678FC">
        <w:rPr>
          <w:rFonts w:cs="Arial"/>
        </w:rPr>
        <w:t xml:space="preserve"> (APCPs)</w:t>
      </w:r>
      <w:r w:rsidRPr="007678FC">
        <w:rPr>
          <w:rFonts w:cs="Arial"/>
        </w:rPr>
        <w:t>, or Patient-Centered Medical Homes (PCMHs), and payments to support Community Health Teams (CHTs)</w:t>
      </w:r>
      <w:r w:rsidR="005C5502" w:rsidRPr="007678FC">
        <w:rPr>
          <w:rFonts w:cs="Arial"/>
        </w:rPr>
        <w:t>.</w:t>
      </w:r>
      <w:r w:rsidR="009D34E0" w:rsidRPr="007678FC">
        <w:rPr>
          <w:rFonts w:cs="Arial"/>
        </w:rPr>
        <w:t xml:space="preserve">  The </w:t>
      </w:r>
      <w:r w:rsidR="00751B0C" w:rsidRPr="007678FC">
        <w:rPr>
          <w:rFonts w:cs="Arial"/>
        </w:rPr>
        <w:t>PCMH</w:t>
      </w:r>
      <w:r w:rsidR="009D34E0" w:rsidRPr="007678FC">
        <w:rPr>
          <w:rFonts w:cs="Arial"/>
        </w:rPr>
        <w:t xml:space="preserve"> payment is made to primary care practices</w:t>
      </w:r>
      <w:r w:rsidR="00FF137E" w:rsidRPr="007678FC">
        <w:rPr>
          <w:rFonts w:cs="Arial"/>
        </w:rPr>
        <w:t>,</w:t>
      </w:r>
      <w:r w:rsidR="009D34E0" w:rsidRPr="007678FC">
        <w:rPr>
          <w:rFonts w:cs="Arial"/>
        </w:rPr>
        <w:t xml:space="preserve"> </w:t>
      </w:r>
      <w:r w:rsidR="00751B0C" w:rsidRPr="007678FC">
        <w:rPr>
          <w:rFonts w:cs="Arial"/>
        </w:rPr>
        <w:t>contingent</w:t>
      </w:r>
      <w:r w:rsidR="009D34E0" w:rsidRPr="007678FC">
        <w:rPr>
          <w:rFonts w:cs="Arial"/>
        </w:rPr>
        <w:t xml:space="preserve"> on their </w:t>
      </w:r>
      <w:r w:rsidR="00051242" w:rsidRPr="007678FC">
        <w:rPr>
          <w:rFonts w:cs="Arial"/>
        </w:rPr>
        <w:t>NCQA recognition</w:t>
      </w:r>
      <w:r w:rsidR="00A7797F" w:rsidRPr="007678FC">
        <w:rPr>
          <w:rFonts w:cs="Arial"/>
        </w:rPr>
        <w:t>, or qualifying NCQA score,</w:t>
      </w:r>
      <w:r w:rsidR="00051242" w:rsidRPr="007678FC">
        <w:rPr>
          <w:rFonts w:cs="Arial"/>
        </w:rPr>
        <w:t xml:space="preserve"> under</w:t>
      </w:r>
      <w:r w:rsidR="009D34E0" w:rsidRPr="007678FC">
        <w:rPr>
          <w:rFonts w:cs="Arial"/>
        </w:rPr>
        <w:t xml:space="preserve"> medical home standards.  In effect, this represents a payment for the quality of services provided by the practice as assessed by the NCQA standards.  The </w:t>
      </w:r>
      <w:r w:rsidR="00751B0C" w:rsidRPr="007678FC">
        <w:rPr>
          <w:rFonts w:cs="Arial"/>
        </w:rPr>
        <w:t>CHT payment</w:t>
      </w:r>
      <w:r w:rsidR="009D34E0" w:rsidRPr="007678FC">
        <w:rPr>
          <w:rFonts w:cs="Arial"/>
        </w:rPr>
        <w:t xml:space="preserve"> is a payment to support community health team staff as a shared cost with other insurers.  This represents an up-front investment in capacity by providing citizens with greater access to multi-disciplinary medical and social services in the primary care settin</w:t>
      </w:r>
      <w:r w:rsidR="00D76C0A" w:rsidRPr="007678FC">
        <w:rPr>
          <w:rFonts w:cs="Arial"/>
        </w:rPr>
        <w:t>g.  Both are capitated payments</w:t>
      </w:r>
      <w:r w:rsidR="009D34E0" w:rsidRPr="007678FC">
        <w:rPr>
          <w:rFonts w:cs="Arial"/>
        </w:rPr>
        <w:t xml:space="preserve"> applied to the medical home population.</w:t>
      </w:r>
    </w:p>
    <w:p w:rsidR="009D34E0" w:rsidRPr="007678FC" w:rsidRDefault="009D34E0" w:rsidP="002550B3">
      <w:pPr>
        <w:rPr>
          <w:rFonts w:cs="Arial"/>
        </w:rPr>
      </w:pPr>
    </w:p>
    <w:p w:rsidR="002550B3" w:rsidRPr="007678FC" w:rsidRDefault="00AF52E5" w:rsidP="002550B3">
      <w:pPr>
        <w:rPr>
          <w:rFonts w:cs="Arial"/>
        </w:rPr>
      </w:pPr>
      <w:r w:rsidRPr="007678FC">
        <w:rPr>
          <w:rFonts w:cs="Arial"/>
        </w:rPr>
        <w:t>Current Blueprint-participating payers in Vermont include Medicaid, Medicare, Blue Cross Blue Shield of Vermont (BCBSVT), MVP, and Cigna.</w:t>
      </w:r>
    </w:p>
    <w:p w:rsidR="000A61A1" w:rsidRPr="007678FC" w:rsidRDefault="000A61A1" w:rsidP="002550B3">
      <w:pPr>
        <w:rPr>
          <w:rFonts w:cs="Arial"/>
        </w:rPr>
      </w:pPr>
    </w:p>
    <w:p w:rsidR="000A61A1" w:rsidRPr="007678FC" w:rsidRDefault="00EF121C" w:rsidP="000815EB">
      <w:pPr>
        <w:pStyle w:val="Heading2"/>
      </w:pPr>
      <w:bookmarkStart w:id="96" w:name="_Toc419884058"/>
      <w:bookmarkStart w:id="97" w:name="_Toc419884338"/>
      <w:bookmarkStart w:id="98" w:name="_Toc440036732"/>
      <w:bookmarkStart w:id="99" w:name="_Toc521488601"/>
      <w:r w:rsidRPr="007678FC">
        <w:t>Patient-Centered Medical Home (PCMH</w:t>
      </w:r>
      <w:r w:rsidR="00B24460" w:rsidRPr="007678FC">
        <w:t>)</w:t>
      </w:r>
      <w:r w:rsidRPr="007678FC">
        <w:t xml:space="preserve"> Payments</w:t>
      </w:r>
      <w:bookmarkEnd w:id="96"/>
      <w:bookmarkEnd w:id="97"/>
      <w:bookmarkEnd w:id="98"/>
      <w:bookmarkEnd w:id="99"/>
    </w:p>
    <w:p w:rsidR="000A61A1" w:rsidRPr="007678FC" w:rsidRDefault="00E74AFA" w:rsidP="00B6236A">
      <w:pPr>
        <w:rPr>
          <w:rFonts w:cs="Arial"/>
        </w:rPr>
      </w:pPr>
      <w:r w:rsidRPr="007678FC">
        <w:t xml:space="preserve">The Blueprint will provide payers with practice roster information received from practices, and NCQA scoring data, for all Blueprint practices.  Payers will use the practice roster information to calculate </w:t>
      </w:r>
      <w:r w:rsidR="00F27DE2" w:rsidRPr="007678FC">
        <w:t xml:space="preserve">claims-based </w:t>
      </w:r>
      <w:r w:rsidRPr="007678FC">
        <w:t>Blueprint patient attributions</w:t>
      </w:r>
      <w:r w:rsidR="00ED51A0" w:rsidRPr="007678FC">
        <w:t xml:space="preserve"> for each practice</w:t>
      </w:r>
      <w:r w:rsidRPr="007678FC">
        <w:t xml:space="preserve">, as specified in Appendices </w:t>
      </w:r>
      <w:r w:rsidR="0056266E" w:rsidRPr="007678FC">
        <w:t>3 and 4</w:t>
      </w:r>
      <w:r w:rsidR="00F27DE2" w:rsidRPr="007678FC">
        <w:t xml:space="preserve">.  </w:t>
      </w:r>
      <w:r w:rsidR="000A61A1" w:rsidRPr="007678FC">
        <w:t xml:space="preserve">Based upon the NCQA PCMH recognition score, as described earlier, the insurers will multiply the number of </w:t>
      </w:r>
      <w:r w:rsidR="00D936F9" w:rsidRPr="007678FC">
        <w:t>a practice's</w:t>
      </w:r>
      <w:r w:rsidR="000A61A1" w:rsidRPr="007678FC">
        <w:t xml:space="preserve"> attributed beneficiaries by the appropriate dollar amount to generate a </w:t>
      </w:r>
      <w:r w:rsidR="00E21D09" w:rsidRPr="007678FC">
        <w:t xml:space="preserve">PCMH Per Patient Per Month (PPPM) </w:t>
      </w:r>
      <w:r w:rsidR="000A61A1" w:rsidRPr="007678FC">
        <w:t xml:space="preserve">payment for each practice.  This </w:t>
      </w:r>
      <w:r w:rsidR="00F27DE2" w:rsidRPr="007678FC">
        <w:t xml:space="preserve">PCMH PPPM payment </w:t>
      </w:r>
      <w:r w:rsidR="000A61A1" w:rsidRPr="007678FC">
        <w:t>will be sent directly to the practice or parent organization.</w:t>
      </w:r>
      <w:r w:rsidR="00B6236A" w:rsidRPr="007678FC">
        <w:t xml:space="preserve">  </w:t>
      </w:r>
      <w:r w:rsidR="000A61A1" w:rsidRPr="007678FC">
        <w:rPr>
          <w:rFonts w:cs="Arial"/>
        </w:rPr>
        <w:t xml:space="preserve">Updates to the patient </w:t>
      </w:r>
      <w:r w:rsidR="00605040" w:rsidRPr="007678FC">
        <w:rPr>
          <w:rFonts w:cs="Arial"/>
        </w:rPr>
        <w:t xml:space="preserve">panel lists </w:t>
      </w:r>
      <w:r w:rsidR="00B6236A" w:rsidRPr="007678FC">
        <w:rPr>
          <w:rFonts w:cs="Arial"/>
        </w:rPr>
        <w:t>will</w:t>
      </w:r>
      <w:r w:rsidR="00605040" w:rsidRPr="007678FC">
        <w:rPr>
          <w:rFonts w:cs="Arial"/>
        </w:rPr>
        <w:t xml:space="preserve"> be </w:t>
      </w:r>
      <w:r w:rsidR="00D936F9" w:rsidRPr="007678FC">
        <w:rPr>
          <w:rFonts w:cs="Arial"/>
        </w:rPr>
        <w:t xml:space="preserve">based on claims attributions and </w:t>
      </w:r>
      <w:r w:rsidR="00605040" w:rsidRPr="007678FC">
        <w:rPr>
          <w:rFonts w:cs="Arial"/>
        </w:rPr>
        <w:t xml:space="preserve">done on </w:t>
      </w:r>
      <w:r w:rsidR="00C468C9" w:rsidRPr="007678FC">
        <w:rPr>
          <w:rFonts w:cs="Arial"/>
        </w:rPr>
        <w:t xml:space="preserve">at least </w:t>
      </w:r>
      <w:r w:rsidR="00605040" w:rsidRPr="007678FC">
        <w:rPr>
          <w:rFonts w:cs="Arial"/>
        </w:rPr>
        <w:t>a</w:t>
      </w:r>
      <w:r w:rsidR="000A61A1" w:rsidRPr="007678FC">
        <w:rPr>
          <w:rFonts w:cs="Arial"/>
        </w:rPr>
        <w:t xml:space="preserve"> </w:t>
      </w:r>
      <w:r w:rsidR="00605040" w:rsidRPr="007678FC">
        <w:rPr>
          <w:rFonts w:cs="Arial"/>
        </w:rPr>
        <w:t>quarterly</w:t>
      </w:r>
      <w:r w:rsidR="000A61A1" w:rsidRPr="007678FC">
        <w:rPr>
          <w:rFonts w:cs="Arial"/>
        </w:rPr>
        <w:t xml:space="preserve"> basis.</w:t>
      </w:r>
      <w:r w:rsidR="005D7ACF" w:rsidRPr="007678FC">
        <w:rPr>
          <w:rFonts w:cs="Arial"/>
        </w:rPr>
        <w:t xml:space="preserve">  </w:t>
      </w:r>
      <w:r w:rsidR="005D7ACF" w:rsidRPr="007678FC">
        <w:t>Upon request of the practices or their parent organizations, the payer will provide the list of attributed patients for review and reconciliation if necessary.</w:t>
      </w:r>
    </w:p>
    <w:p w:rsidR="00B6236A" w:rsidRPr="007678FC" w:rsidRDefault="00B6236A" w:rsidP="00B6236A"/>
    <w:p w:rsidR="000A61A1" w:rsidRPr="007678FC" w:rsidRDefault="000A61A1" w:rsidP="000A61A1">
      <w:pPr>
        <w:spacing w:after="240"/>
        <w:rPr>
          <w:rFonts w:cs="Arial"/>
        </w:rPr>
      </w:pPr>
      <w:r w:rsidRPr="007678FC">
        <w:rPr>
          <w:rFonts w:cs="Arial"/>
        </w:rPr>
        <w:t xml:space="preserve">The definition of a “current active patient” is as follows:  The patient must have had a </w:t>
      </w:r>
      <w:r w:rsidR="000867BE">
        <w:rPr>
          <w:rFonts w:cs="Arial"/>
        </w:rPr>
        <w:t xml:space="preserve">majority of their primary-care </w:t>
      </w:r>
      <w:r w:rsidRPr="007678FC">
        <w:rPr>
          <w:rFonts w:cs="Arial"/>
        </w:rPr>
        <w:t>visit</w:t>
      </w:r>
      <w:r w:rsidR="000867BE">
        <w:rPr>
          <w:rFonts w:cs="Arial"/>
        </w:rPr>
        <w:t>s</w:t>
      </w:r>
      <w:r w:rsidRPr="007678FC">
        <w:rPr>
          <w:rFonts w:cs="Arial"/>
        </w:rPr>
        <w:t xml:space="preserve"> in the primary care practice (Evaluation &amp; Management Code) within the 24 months prior to the date that the attribution process is being conducted</w:t>
      </w:r>
      <w:r w:rsidR="00605040" w:rsidRPr="007678FC">
        <w:rPr>
          <w:rFonts w:cs="Arial"/>
        </w:rPr>
        <w:t>, in accordance with the algorithm</w:t>
      </w:r>
      <w:r w:rsidR="00B33EF7" w:rsidRPr="007678FC">
        <w:rPr>
          <w:rFonts w:cs="Arial"/>
        </w:rPr>
        <w:t>s</w:t>
      </w:r>
      <w:r w:rsidR="00605040" w:rsidRPr="007678FC">
        <w:rPr>
          <w:rFonts w:cs="Arial"/>
        </w:rPr>
        <w:t xml:space="preserve"> presented in Appendices </w:t>
      </w:r>
      <w:r w:rsidR="0056266E" w:rsidRPr="007678FC">
        <w:rPr>
          <w:rFonts w:cs="Arial"/>
        </w:rPr>
        <w:t>2, 3, and 4</w:t>
      </w:r>
      <w:r w:rsidRPr="007678FC">
        <w:rPr>
          <w:rFonts w:cs="Arial"/>
        </w:rPr>
        <w:t xml:space="preserve">.  </w:t>
      </w:r>
      <w:r w:rsidR="002E35DB" w:rsidRPr="007678FC">
        <w:rPr>
          <w:rFonts w:eastAsia="Times"/>
        </w:rPr>
        <w:t xml:space="preserve">If a patient has an equal number of qualifying visits to more than one practice, they will be attributed to the one with the most recent visit.  </w:t>
      </w:r>
      <w:r w:rsidR="00AA2801">
        <w:rPr>
          <w:rFonts w:eastAsia="Times"/>
        </w:rPr>
        <w:t xml:space="preserve">Patient attributions for members of Blueprint-participating self-insured plans will be included.  </w:t>
      </w:r>
      <w:r w:rsidRPr="007678FC">
        <w:rPr>
          <w:rFonts w:cs="Arial"/>
        </w:rPr>
        <w:t xml:space="preserve">Attribution is refreshed </w:t>
      </w:r>
      <w:r w:rsidR="00D417F1" w:rsidRPr="007678FC">
        <w:rPr>
          <w:rFonts w:cs="Arial"/>
        </w:rPr>
        <w:t xml:space="preserve">at least </w:t>
      </w:r>
      <w:r w:rsidRPr="007678FC">
        <w:rPr>
          <w:rFonts w:cs="Arial"/>
        </w:rPr>
        <w:t xml:space="preserve">quarterly.  </w:t>
      </w:r>
    </w:p>
    <w:p w:rsidR="00216518" w:rsidRDefault="000A61A1" w:rsidP="000A61A1">
      <w:pPr>
        <w:rPr>
          <w:rFonts w:cs="Arial"/>
        </w:rPr>
      </w:pPr>
      <w:r w:rsidRPr="007678FC">
        <w:rPr>
          <w:rFonts w:cs="Arial"/>
        </w:rPr>
        <w:t xml:space="preserve">Each insurer will send a list of the number of attributed patients to each Advanced Primary Care Practice (or parent organization) when the attribution is first conducted or refreshed, providing an opportunity to reconcile differences.  The insurer and practice should agree on the number of attributed patients within 30 days of the date that the insurer sends an </w:t>
      </w:r>
      <w:r w:rsidRPr="007678FC">
        <w:rPr>
          <w:rFonts w:cs="Arial"/>
        </w:rPr>
        <w:lastRenderedPageBreak/>
        <w:t xml:space="preserve">attribution list to the practice in order to support an efficient and uninterrupted payment process.     </w:t>
      </w:r>
    </w:p>
    <w:p w:rsidR="00D504FD" w:rsidRPr="007678FC" w:rsidRDefault="00D504FD" w:rsidP="000A61A1">
      <w:pPr>
        <w:rPr>
          <w:rFonts w:cs="Arial"/>
        </w:rPr>
      </w:pPr>
    </w:p>
    <w:p w:rsidR="00DF52DD" w:rsidRPr="007678FC" w:rsidRDefault="00DF52DD" w:rsidP="00DF52DD">
      <w:pPr>
        <w:rPr>
          <w:rFonts w:cs="Arial"/>
        </w:rPr>
      </w:pPr>
      <w:r w:rsidRPr="007678FC">
        <w:rPr>
          <w:rFonts w:cs="Arial"/>
        </w:rPr>
        <w:t>In addition, each insurer will report attribution to the Blueprint.  At the beginning of each calendar quarter (generally within 15 days of the start of each calendar quarter), each insurer will send to the Blueprint a list of the counts of attributed patients and PCMH PPPM payments made for the prior calendar quarter, for Blueprint practices, broken out by practice (including Blueprint Practice ID) and payment month.  This reporting will enable payment verification and rollups at the practice and Health Service Area levels, across payers.</w:t>
      </w:r>
    </w:p>
    <w:p w:rsidR="000A61A1" w:rsidRPr="007678FC" w:rsidRDefault="000A61A1" w:rsidP="002550B3"/>
    <w:p w:rsidR="007700B2" w:rsidRPr="007678FC" w:rsidRDefault="007700B2" w:rsidP="007700B2">
      <w:pPr>
        <w:rPr>
          <w:rFonts w:cs="Arial"/>
        </w:rPr>
      </w:pPr>
      <w:r w:rsidRPr="007678FC">
        <w:rPr>
          <w:rFonts w:cs="Arial"/>
        </w:rPr>
        <w:t>The enhanced per person per month (PPPM) payment for Advanced Primary Care Practices is intended to help the practice, in conjunction with the Comm</w:t>
      </w:r>
      <w:r w:rsidR="002550B3" w:rsidRPr="007678FC">
        <w:rPr>
          <w:rFonts w:cs="Arial"/>
        </w:rPr>
        <w:t>unity Health Team, provide well-</w:t>
      </w:r>
      <w:r w:rsidRPr="007678FC">
        <w:rPr>
          <w:rFonts w:cs="Arial"/>
        </w:rPr>
        <w:t>coordinated preventive health services for all their patients.  At this time</w:t>
      </w:r>
      <w:r w:rsidR="002550B3" w:rsidRPr="007678FC">
        <w:rPr>
          <w:rFonts w:cs="Arial"/>
        </w:rPr>
        <w:t>,</w:t>
      </w:r>
      <w:r w:rsidRPr="007678FC">
        <w:rPr>
          <w:rFonts w:cs="Arial"/>
        </w:rPr>
        <w:t xml:space="preserve"> the enhanced payment is in addition to any payment that the practice receives based on existing agreements (e.g. Fee for Service).  </w:t>
      </w:r>
    </w:p>
    <w:p w:rsidR="0099617B" w:rsidRPr="007678FC" w:rsidRDefault="0099617B" w:rsidP="007700B2">
      <w:pPr>
        <w:rPr>
          <w:rFonts w:cs="Arial"/>
        </w:rPr>
      </w:pPr>
    </w:p>
    <w:p w:rsidR="007700B2" w:rsidRPr="007678FC" w:rsidRDefault="007700B2" w:rsidP="007700B2">
      <w:pPr>
        <w:rPr>
          <w:rFonts w:cs="Arial"/>
        </w:rPr>
      </w:pPr>
      <w:r w:rsidRPr="007678FC">
        <w:rPr>
          <w:rFonts w:cs="Arial"/>
        </w:rPr>
        <w:t xml:space="preserve">The enhanced </w:t>
      </w:r>
      <w:r w:rsidR="00E21D09" w:rsidRPr="007678FC">
        <w:rPr>
          <w:rFonts w:cs="Arial"/>
        </w:rPr>
        <w:t xml:space="preserve">PCMH </w:t>
      </w:r>
      <w:r w:rsidRPr="007678FC">
        <w:rPr>
          <w:rFonts w:cs="Arial"/>
        </w:rPr>
        <w:t xml:space="preserve">PPPM payment is based on the number of patients that are attributed to the practice by each insurer.  The attribution method used by all insurers is intended to determine the practice’s active caseload.  At present, insurers attribute all patients that have had a </w:t>
      </w:r>
      <w:r w:rsidR="000867BE">
        <w:rPr>
          <w:rFonts w:cs="Arial"/>
        </w:rPr>
        <w:t>majority of their primary-care</w:t>
      </w:r>
      <w:r w:rsidR="00413C1E" w:rsidRPr="007678FC">
        <w:rPr>
          <w:rFonts w:cs="Arial"/>
        </w:rPr>
        <w:t xml:space="preserve"> </w:t>
      </w:r>
      <w:r w:rsidRPr="007678FC">
        <w:rPr>
          <w:rFonts w:cs="Arial"/>
        </w:rPr>
        <w:t>visit</w:t>
      </w:r>
      <w:r w:rsidR="000867BE">
        <w:rPr>
          <w:rFonts w:cs="Arial"/>
        </w:rPr>
        <w:t>s</w:t>
      </w:r>
      <w:r w:rsidRPr="007678FC">
        <w:rPr>
          <w:rFonts w:cs="Arial"/>
        </w:rPr>
        <w:t xml:space="preserve"> (Evaluation &amp; Management Code) to the practice in the last 24 months.  Vermont’s insurers have elected to apply these look back periods based on their beneficiaries’ demographics, recommended health maintenance, and health related risks.    </w:t>
      </w:r>
    </w:p>
    <w:p w:rsidR="007700B2" w:rsidRPr="007678FC" w:rsidRDefault="007700B2" w:rsidP="007700B2">
      <w:pPr>
        <w:rPr>
          <w:rFonts w:cs="Arial"/>
        </w:rPr>
      </w:pPr>
    </w:p>
    <w:p w:rsidR="00DC08EB" w:rsidRPr="007678FC" w:rsidRDefault="00DC08EB" w:rsidP="00DC08EB">
      <w:pPr>
        <w:widowControl w:val="0"/>
        <w:spacing w:before="100" w:beforeAutospacing="1" w:after="100" w:afterAutospacing="1"/>
      </w:pPr>
      <w:r w:rsidRPr="007678FC">
        <w:t xml:space="preserve">The PCMH per person per month (PPPM) payment is designed to support the operations of a patient centered medical home and is </w:t>
      </w:r>
      <w:r w:rsidR="00A7797F" w:rsidRPr="007678FC">
        <w:rPr>
          <w:rFonts w:cs="Arial"/>
        </w:rPr>
        <w:t xml:space="preserve">contingent on each Blueprint </w:t>
      </w:r>
      <w:r w:rsidR="00F81EA4" w:rsidRPr="007678FC">
        <w:rPr>
          <w:rFonts w:cs="Arial"/>
        </w:rPr>
        <w:t>practice’s</w:t>
      </w:r>
      <w:r w:rsidR="00F81EA4">
        <w:rPr>
          <w:rFonts w:cs="Arial"/>
        </w:rPr>
        <w:t xml:space="preserve"> engagement with NCQA and subsequent </w:t>
      </w:r>
      <w:r w:rsidR="00097ECD">
        <w:rPr>
          <w:rFonts w:cs="Arial"/>
        </w:rPr>
        <w:t xml:space="preserve">PCMH </w:t>
      </w:r>
      <w:r w:rsidR="00F81EA4">
        <w:rPr>
          <w:rFonts w:cs="Arial"/>
        </w:rPr>
        <w:t>NCQA recognition</w:t>
      </w:r>
      <w:r w:rsidR="00A7797F" w:rsidRPr="007678FC">
        <w:rPr>
          <w:rFonts w:cs="Arial"/>
        </w:rPr>
        <w:t>, under medical home standards.</w:t>
      </w:r>
      <w:r w:rsidRPr="007678FC">
        <w:t xml:space="preserve">  The payer will provide the enhanced </w:t>
      </w:r>
      <w:r w:rsidR="00E21D09" w:rsidRPr="007678FC">
        <w:t xml:space="preserve">PCMH </w:t>
      </w:r>
      <w:r w:rsidRPr="007678FC">
        <w:t>PPPM payment for all of its attributed patients in the practice. The algorithm to identify attributed patients for Commercial and Medicaid p</w:t>
      </w:r>
      <w:r w:rsidR="007A6A0B" w:rsidRPr="007678FC">
        <w:t>ayers is presented in Appendix 3, and for Medicare in Appendix 4</w:t>
      </w:r>
      <w:r w:rsidRPr="007678FC">
        <w:t xml:space="preserve">.  Upon request of the practices or their parent organizations, the payer will provide the list of attributed patients for review and reconciliation if necessary.  To calculate the total amount of the </w:t>
      </w:r>
      <w:r w:rsidR="00E21D09" w:rsidRPr="007678FC">
        <w:t xml:space="preserve">PCMH </w:t>
      </w:r>
      <w:r w:rsidRPr="007678FC">
        <w:t xml:space="preserve">PPPM payment for each practice, the payer will multiply the number of attributed patients in the practice by the </w:t>
      </w:r>
      <w:r w:rsidR="00E21D09" w:rsidRPr="007678FC">
        <w:t xml:space="preserve">PCMH </w:t>
      </w:r>
      <w:r w:rsidRPr="007678FC">
        <w:t>PPPM amount</w:t>
      </w:r>
      <w:r w:rsidR="00CF1ABF" w:rsidRPr="007678FC">
        <w:t>,</w:t>
      </w:r>
      <w:r w:rsidRPr="007678FC">
        <w:t xml:space="preserve"> </w:t>
      </w:r>
      <w:r w:rsidR="009D2223" w:rsidRPr="007678FC">
        <w:t>determined by</w:t>
      </w:r>
      <w:r w:rsidR="009D2223" w:rsidRPr="007678FC">
        <w:rPr>
          <w:rFonts w:ascii="Times New Roman" w:hAnsi="Times New Roman"/>
        </w:rPr>
        <w:t xml:space="preserve"> a composite of medical home recognition, collaborative participation, and performance, as described in </w:t>
      </w:r>
      <w:r w:rsidR="00CF1ABF" w:rsidRPr="007678FC">
        <w:rPr>
          <w:rFonts w:ascii="Times New Roman" w:hAnsi="Times New Roman"/>
        </w:rPr>
        <w:t>Section 5.1.1</w:t>
      </w:r>
      <w:r w:rsidR="009D2223" w:rsidRPr="007678FC">
        <w:rPr>
          <w:rFonts w:ascii="Times New Roman" w:hAnsi="Times New Roman"/>
        </w:rPr>
        <w:t>.</w:t>
      </w:r>
      <w:r w:rsidR="009D2223" w:rsidRPr="007678FC">
        <w:t xml:space="preserve">  </w:t>
      </w:r>
      <w:r w:rsidRPr="007678FC">
        <w:t xml:space="preserve">  </w:t>
      </w:r>
    </w:p>
    <w:p w:rsidR="00C85479" w:rsidRPr="007678FC" w:rsidRDefault="009D2223" w:rsidP="00DC08EB">
      <w:pPr>
        <w:spacing w:before="100" w:beforeAutospacing="1" w:after="100" w:afterAutospacing="1"/>
      </w:pPr>
      <w:r w:rsidRPr="007678FC">
        <w:t>T</w:t>
      </w:r>
      <w:r w:rsidR="00DC08EB" w:rsidRPr="007678FC">
        <w:t>he attribution m</w:t>
      </w:r>
      <w:r w:rsidR="0056266E" w:rsidRPr="007678FC">
        <w:t>ethodology found in Appendices 3 and 4</w:t>
      </w:r>
      <w:r w:rsidR="00DC08EB" w:rsidRPr="007678FC">
        <w:t xml:space="preserve"> are the current models generated in collaboration with the Payment Implementation Work Group, and approved by consensus by the Blueprint Executive Committee.</w:t>
      </w:r>
      <w:r w:rsidR="00DC08EB" w:rsidRPr="007678FC">
        <w:rPr>
          <w:b/>
        </w:rPr>
        <w:t xml:space="preserve">  </w:t>
      </w:r>
      <w:r w:rsidR="00DC08EB" w:rsidRPr="007678FC">
        <w:t xml:space="preserve">The attribution methodology can be revised after seeking input from the Blueprint’s Payment Implementation Work Group, Expansion Design and Evaluation Committee, and Executive Committee.  The </w:t>
      </w:r>
      <w:r w:rsidR="00E21D09" w:rsidRPr="007678FC">
        <w:t xml:space="preserve">PCMH </w:t>
      </w:r>
      <w:r w:rsidR="00DC08EB" w:rsidRPr="007678FC">
        <w:t xml:space="preserve">PPPM amounts can be revised if the applicable NCQA standards change; in addition, </w:t>
      </w:r>
      <w:r w:rsidR="00E21D09" w:rsidRPr="007678FC">
        <w:t xml:space="preserve">PCMH </w:t>
      </w:r>
      <w:r w:rsidR="00DC08EB" w:rsidRPr="007678FC">
        <w:t xml:space="preserve">PPPM amounts can be changed by the Blueprint Director after seeking input from the Blueprint’s </w:t>
      </w:r>
      <w:r w:rsidR="00DC08EB" w:rsidRPr="007678FC">
        <w:lastRenderedPageBreak/>
        <w:t>Payment Implementation Work Group, Expansion Design and Evaluation Committee, and Executive Committee.</w:t>
      </w:r>
    </w:p>
    <w:p w:rsidR="00FB69B2" w:rsidRDefault="00DC08EB" w:rsidP="00DC08EB">
      <w:r w:rsidRPr="007678FC">
        <w:t>Payment for newly</w:t>
      </w:r>
      <w:r w:rsidRPr="007678FC">
        <w:rPr>
          <w:b/>
        </w:rPr>
        <w:t>-</w:t>
      </w:r>
      <w:r w:rsidRPr="007678FC">
        <w:t>scored practices</w:t>
      </w:r>
      <w:r w:rsidR="00DF52DD" w:rsidRPr="007678FC">
        <w:t xml:space="preserve"> or practices rejoining the Blueprint</w:t>
      </w:r>
      <w:r w:rsidRPr="007678FC">
        <w:t xml:space="preserve"> will be effective on the first of the month after the date that the Blueprint transmits</w:t>
      </w:r>
      <w:r w:rsidR="00B6236A" w:rsidRPr="007678FC">
        <w:t xml:space="preserve"> </w:t>
      </w:r>
      <w:r w:rsidR="00F81EA4">
        <w:t xml:space="preserve">the NCQA engaging date </w:t>
      </w:r>
      <w:r w:rsidR="00B6236A" w:rsidRPr="007678FC">
        <w:t>to</w:t>
      </w:r>
      <w:r w:rsidRPr="007678FC">
        <w:t xml:space="preserve"> payers.  Changes in payment resulting from subsequent receipt of </w:t>
      </w:r>
      <w:r w:rsidR="00097ECD">
        <w:t xml:space="preserve">the PCMH </w:t>
      </w:r>
      <w:r w:rsidR="00F81EA4">
        <w:t>NCQA</w:t>
      </w:r>
      <w:r w:rsidR="00097ECD">
        <w:t xml:space="preserve"> recognition date </w:t>
      </w:r>
      <w:r w:rsidRPr="007678FC">
        <w:t xml:space="preserve">will be implemented by the payer on the first of the month after the </w:t>
      </w:r>
      <w:r w:rsidR="00097ECD">
        <w:t>NCQA dates</w:t>
      </w:r>
      <w:r w:rsidRPr="007678FC">
        <w:t xml:space="preserve"> are received by the payer from </w:t>
      </w:r>
      <w:r w:rsidR="004C0993" w:rsidRPr="007678FC">
        <w:t xml:space="preserve">the Blueprint.  Practices must </w:t>
      </w:r>
      <w:r w:rsidR="00DF52DD" w:rsidRPr="007678FC">
        <w:t>maintain their NCQA PCMH recognition in accordance with NCQA’s policies and procedures</w:t>
      </w:r>
      <w:r w:rsidR="00FF137E" w:rsidRPr="007678FC">
        <w:t xml:space="preserve"> (except as otherwise </w:t>
      </w:r>
      <w:r w:rsidR="00CD3CB6" w:rsidRPr="007678FC">
        <w:t>specified</w:t>
      </w:r>
      <w:r w:rsidR="00FF137E" w:rsidRPr="007678FC">
        <w:t xml:space="preserve"> in Section 5.3)</w:t>
      </w:r>
      <w:r w:rsidR="00DF52DD" w:rsidRPr="007678FC">
        <w:t xml:space="preserve">. Practices </w:t>
      </w:r>
      <w:r w:rsidRPr="007678FC">
        <w:t>may request an interim add-on survey or upgrade, pending availability of reviewers, but not more frequently than once every six months.  Payment will remain at the previous level until the NCQA review is received, at which time it will be adjusted according to the NCQA score.</w:t>
      </w:r>
    </w:p>
    <w:p w:rsidR="00B33339" w:rsidRDefault="00B33339" w:rsidP="00DC08EB"/>
    <w:p w:rsidR="00CF1ABF" w:rsidRDefault="00B33339" w:rsidP="00DC08EB">
      <w:r w:rsidRPr="009A3EAF">
        <w:rPr>
          <w:u w:val="single"/>
        </w:rPr>
        <w:t xml:space="preserve">Exception for Medicare </w:t>
      </w:r>
      <w:r w:rsidR="00E00E8E">
        <w:rPr>
          <w:u w:val="single"/>
        </w:rPr>
        <w:t xml:space="preserve">PCMH </w:t>
      </w:r>
      <w:r w:rsidRPr="009A3EAF">
        <w:rPr>
          <w:u w:val="single"/>
        </w:rPr>
        <w:t>payments.</w:t>
      </w:r>
      <w:r>
        <w:t xml:space="preserve">  For Calendar Year 2017 payments, Medicare </w:t>
      </w:r>
      <w:r w:rsidR="00F131DE">
        <w:t xml:space="preserve">PCMH </w:t>
      </w:r>
      <w:r>
        <w:t xml:space="preserve">payments will be </w:t>
      </w:r>
      <w:r w:rsidR="00EA7EE7">
        <w:t xml:space="preserve">fixed and </w:t>
      </w:r>
      <w:r>
        <w:t xml:space="preserve">based on a 3-month average of the latest </w:t>
      </w:r>
      <w:r w:rsidR="009A3EAF">
        <w:t xml:space="preserve">monthly </w:t>
      </w:r>
      <w:r>
        <w:t xml:space="preserve">Medicare patient attributions </w:t>
      </w:r>
      <w:r w:rsidR="00EA7EE7">
        <w:t>available from Medicare reports as of early December 2016 (i.e., ending with October 2016 attributions for most practices), and based on the single latest monthly PPPM value</w:t>
      </w:r>
      <w:r w:rsidR="00015246">
        <w:t xml:space="preserve"> (following 2% Medicare sequestration)</w:t>
      </w:r>
      <w:r w:rsidR="00EA7EE7">
        <w:t xml:space="preserve"> available from Medicare </w:t>
      </w:r>
      <w:r w:rsidR="00F131DE">
        <w:t xml:space="preserve">payment </w:t>
      </w:r>
      <w:r w:rsidR="00EA7EE7">
        <w:t>reports as of early December 2016 (i.e., as of October 2016 for most practices)</w:t>
      </w:r>
      <w:r w:rsidR="00015246">
        <w:t xml:space="preserve">.  For new Medicare PCMH practices in 2017 for whom no patient attributions are available from Medicare reports, </w:t>
      </w:r>
      <w:r w:rsidR="00F131DE">
        <w:t xml:space="preserve">PCMH </w:t>
      </w:r>
      <w:r w:rsidR="00015246">
        <w:t>payments will be based on their initial qualifying NCQA scores, per Appendix 6, and on the latest All-Payer Claims Dataset (VHCURES) Medicare patient attribution counts available as of early December 2016.</w:t>
      </w:r>
    </w:p>
    <w:p w:rsidR="00A367D7" w:rsidRPr="007678FC" w:rsidRDefault="00A367D7" w:rsidP="00DC08EB"/>
    <w:p w:rsidR="00CF1ABF" w:rsidRPr="007678FC" w:rsidRDefault="00CF1ABF" w:rsidP="006E05C6">
      <w:pPr>
        <w:pStyle w:val="Heading3"/>
      </w:pPr>
      <w:bookmarkStart w:id="100" w:name="_Toc440036733"/>
      <w:bookmarkStart w:id="101" w:name="_Toc521488602"/>
      <w:r w:rsidRPr="007678FC">
        <w:t>PCMH PPPM Payment Model</w:t>
      </w:r>
      <w:bookmarkEnd w:id="100"/>
      <w:r w:rsidR="00926A35">
        <w:t xml:space="preserve"> (Medicaid and Commercial Insurers)</w:t>
      </w:r>
      <w:bookmarkEnd w:id="101"/>
    </w:p>
    <w:p w:rsidR="00FB69B2" w:rsidRPr="007678FC" w:rsidRDefault="00FB69B2" w:rsidP="00DC08EB"/>
    <w:p w:rsidR="00B5780A" w:rsidRPr="007678FC" w:rsidRDefault="00B5780A" w:rsidP="00B5780A">
      <w:pPr>
        <w:rPr>
          <w:rFonts w:ascii="Times New Roman" w:hAnsi="Times New Roman"/>
        </w:rPr>
      </w:pPr>
      <w:r w:rsidRPr="007678FC">
        <w:rPr>
          <w:rFonts w:ascii="Times New Roman" w:hAnsi="Times New Roman"/>
        </w:rPr>
        <w:t xml:space="preserve">The PCMH PPPM payment model is designed to more adequately fund medical home costs, and to directly align medical home incentives with the goals of the collaboratives </w:t>
      </w:r>
      <w:r w:rsidR="00926A35">
        <w:rPr>
          <w:rFonts w:ascii="Times New Roman" w:hAnsi="Times New Roman"/>
        </w:rPr>
        <w:t>and the ACO provider networks</w:t>
      </w:r>
      <w:r w:rsidR="0023542D">
        <w:rPr>
          <w:rFonts w:ascii="Times New Roman" w:hAnsi="Times New Roman"/>
        </w:rPr>
        <w:t>.  For Medicaid and commercial insurers, t</w:t>
      </w:r>
      <w:r w:rsidRPr="007678FC">
        <w:rPr>
          <w:rFonts w:ascii="Times New Roman" w:hAnsi="Times New Roman"/>
        </w:rPr>
        <w:t>he total capitated payment to medical homes is based on a composite of medical home recognition, collaborative participation, and performance.  The outcome measures driving the performance component include a Quality Index comprised of core ACO quality measures, and a Total Utilization Index.  Improvement on these metrics, such as higher scores on the quality index and less variation on the utilization index, is directly aligned with the goals of Vermont’s health reforms.  The new medical home payment model</w:t>
      </w:r>
      <w:r w:rsidR="0023542D">
        <w:rPr>
          <w:rFonts w:ascii="Times New Roman" w:hAnsi="Times New Roman"/>
        </w:rPr>
        <w:t xml:space="preserve"> for Medicaid and commercial insurers</w:t>
      </w:r>
      <w:r w:rsidRPr="007678FC">
        <w:rPr>
          <w:rFonts w:ascii="Times New Roman" w:hAnsi="Times New Roman"/>
        </w:rPr>
        <w:t xml:space="preserve"> includes the following elements: </w:t>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 xml:space="preserve">Base Component: Based on NCQA recognition &amp; CC Participation. </w:t>
      </w:r>
    </w:p>
    <w:p w:rsidR="00B5780A" w:rsidRPr="007678FC" w:rsidRDefault="00B5780A" w:rsidP="00515635">
      <w:pPr>
        <w:pStyle w:val="ListParagraph"/>
        <w:numPr>
          <w:ilvl w:val="1"/>
          <w:numId w:val="14"/>
        </w:numPr>
        <w:spacing w:after="200" w:line="276" w:lineRule="auto"/>
        <w:rPr>
          <w:rFonts w:ascii="Times New Roman" w:hAnsi="Times New Roman"/>
        </w:rPr>
      </w:pPr>
      <w:r w:rsidRPr="007678FC">
        <w:rPr>
          <w:rFonts w:ascii="Times New Roman" w:hAnsi="Times New Roman"/>
        </w:rPr>
        <w:t xml:space="preserve">Requires successful recognition on 2014 </w:t>
      </w:r>
      <w:r w:rsidR="00097ECD">
        <w:rPr>
          <w:rFonts w:ascii="Times New Roman" w:hAnsi="Times New Roman"/>
        </w:rPr>
        <w:t>NCQA standards or engagement and subsequent recognition on</w:t>
      </w:r>
      <w:r w:rsidR="00347534">
        <w:rPr>
          <w:rFonts w:ascii="Times New Roman" w:hAnsi="Times New Roman"/>
        </w:rPr>
        <w:t xml:space="preserve"> 2017 </w:t>
      </w:r>
      <w:r w:rsidRPr="007678FC">
        <w:rPr>
          <w:rFonts w:ascii="Times New Roman" w:hAnsi="Times New Roman"/>
        </w:rPr>
        <w:t xml:space="preserve">NCQA standards </w:t>
      </w:r>
    </w:p>
    <w:p w:rsidR="00B5780A" w:rsidRPr="007678FC" w:rsidRDefault="00B5780A" w:rsidP="00515635">
      <w:pPr>
        <w:pStyle w:val="ListParagraph"/>
        <w:numPr>
          <w:ilvl w:val="1"/>
          <w:numId w:val="14"/>
        </w:numPr>
        <w:spacing w:after="200" w:line="276" w:lineRule="auto"/>
        <w:rPr>
          <w:rFonts w:ascii="Times New Roman" w:hAnsi="Times New Roman"/>
        </w:rPr>
      </w:pPr>
      <w:r w:rsidRPr="007678FC">
        <w:rPr>
          <w:rFonts w:ascii="Times New Roman" w:hAnsi="Times New Roman"/>
        </w:rPr>
        <w:t>Requires active participation in the local CC including; orienting practice and CHT staff activities to achieve the goals that are prioritized by the local CCs.  Minimum requirement is active participation with at least one CC priority initiative each calendar year.</w:t>
      </w:r>
    </w:p>
    <w:p w:rsidR="00B5780A" w:rsidRPr="007678FC" w:rsidRDefault="00B5780A" w:rsidP="00515635">
      <w:pPr>
        <w:pStyle w:val="ListParagraph"/>
        <w:numPr>
          <w:ilvl w:val="1"/>
          <w:numId w:val="14"/>
        </w:numPr>
        <w:spacing w:after="200" w:line="276" w:lineRule="auto"/>
        <w:rPr>
          <w:rFonts w:ascii="Times New Roman" w:hAnsi="Times New Roman"/>
        </w:rPr>
      </w:pPr>
      <w:r w:rsidRPr="007678FC">
        <w:rPr>
          <w:rFonts w:ascii="Times New Roman" w:hAnsi="Times New Roman"/>
        </w:rPr>
        <w:lastRenderedPageBreak/>
        <w:t>All q</w:t>
      </w:r>
      <w:r w:rsidR="002E213F">
        <w:rPr>
          <w:rFonts w:ascii="Times New Roman" w:hAnsi="Times New Roman"/>
        </w:rPr>
        <w:t>ualifying practices receive $3.0</w:t>
      </w:r>
      <w:r w:rsidRPr="007678FC">
        <w:rPr>
          <w:rFonts w:ascii="Times New Roman" w:hAnsi="Times New Roman"/>
        </w:rPr>
        <w:t xml:space="preserve">0 PPPM  </w:t>
      </w:r>
      <w:r w:rsidRPr="007678FC">
        <w:rPr>
          <w:rFonts w:ascii="Times New Roman" w:hAnsi="Times New Roman"/>
        </w:rPr>
        <w:br/>
        <w:t xml:space="preserve">  </w:t>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Quality Performance Component: Based on Hospital Service Area (HSA) results for Quality Index.</w:t>
      </w:r>
    </w:p>
    <w:p w:rsidR="00B5780A" w:rsidRPr="007678FC" w:rsidRDefault="00691F66" w:rsidP="00515635">
      <w:pPr>
        <w:pStyle w:val="ListParagraph"/>
        <w:numPr>
          <w:ilvl w:val="1"/>
          <w:numId w:val="14"/>
        </w:numPr>
        <w:spacing w:after="200" w:line="276" w:lineRule="auto"/>
        <w:rPr>
          <w:rFonts w:ascii="Times New Roman" w:hAnsi="Times New Roman"/>
        </w:rPr>
      </w:pPr>
      <w:r>
        <w:rPr>
          <w:rFonts w:ascii="Times New Roman" w:hAnsi="Times New Roman"/>
        </w:rPr>
        <w:t>Three payment levels u</w:t>
      </w:r>
      <w:r w:rsidR="00B5780A" w:rsidRPr="007678FC">
        <w:rPr>
          <w:rFonts w:ascii="Times New Roman" w:hAnsi="Times New Roman"/>
        </w:rPr>
        <w:t>p to $ 0.</w:t>
      </w:r>
      <w:r w:rsidR="00484348">
        <w:rPr>
          <w:rFonts w:ascii="Times New Roman" w:hAnsi="Times New Roman"/>
        </w:rPr>
        <w:t>2</w:t>
      </w:r>
      <w:r w:rsidR="00B5780A" w:rsidRPr="007678FC">
        <w:rPr>
          <w:rFonts w:ascii="Times New Roman" w:hAnsi="Times New Roman"/>
        </w:rPr>
        <w:t xml:space="preserve">5 PPPM </w:t>
      </w:r>
      <w:r>
        <w:rPr>
          <w:rFonts w:ascii="Times New Roman" w:hAnsi="Times New Roman"/>
        </w:rPr>
        <w:t>based on total score of the four quality performance measures. Points for each measure are achieved through meeting or surpassing benchmark</w:t>
      </w:r>
      <w:r w:rsidR="00CD7008">
        <w:rPr>
          <w:rFonts w:ascii="Times New Roman" w:hAnsi="Times New Roman"/>
        </w:rPr>
        <w:t>s</w:t>
      </w:r>
      <w:r>
        <w:rPr>
          <w:rFonts w:ascii="Times New Roman" w:hAnsi="Times New Roman"/>
        </w:rPr>
        <w:t xml:space="preserve"> and through improving from one </w:t>
      </w:r>
      <w:r w:rsidR="00CD7008">
        <w:rPr>
          <w:rFonts w:ascii="Times New Roman" w:hAnsi="Times New Roman"/>
        </w:rPr>
        <w:t>twelve</w:t>
      </w:r>
      <w:r>
        <w:rPr>
          <w:rFonts w:ascii="Times New Roman" w:hAnsi="Times New Roman"/>
        </w:rPr>
        <w:t xml:space="preserve">-month period to the next </w:t>
      </w:r>
      <w:r w:rsidR="00CD7008">
        <w:rPr>
          <w:rFonts w:ascii="Times New Roman" w:hAnsi="Times New Roman"/>
        </w:rPr>
        <w:t>twelve</w:t>
      </w:r>
      <w:r>
        <w:rPr>
          <w:rFonts w:ascii="Times New Roman" w:hAnsi="Times New Roman"/>
        </w:rPr>
        <w:t xml:space="preserve">-month period. Scores are reassessed every </w:t>
      </w:r>
      <w:r w:rsidR="00CD7008">
        <w:rPr>
          <w:rFonts w:ascii="Times New Roman" w:hAnsi="Times New Roman"/>
        </w:rPr>
        <w:t>six</w:t>
      </w:r>
      <w:r>
        <w:rPr>
          <w:rFonts w:ascii="Times New Roman" w:hAnsi="Times New Roman"/>
        </w:rPr>
        <w:t xml:space="preserve"> months</w:t>
      </w:r>
      <w:r w:rsidR="00B5780A" w:rsidRPr="007678FC">
        <w:rPr>
          <w:rFonts w:ascii="Times New Roman" w:hAnsi="Times New Roman"/>
        </w:rPr>
        <w:br/>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 xml:space="preserve">Utilization Performance Component: Based on </w:t>
      </w:r>
      <w:r w:rsidR="00B02165">
        <w:rPr>
          <w:rFonts w:ascii="Times New Roman" w:hAnsi="Times New Roman"/>
        </w:rPr>
        <w:t>Practice</w:t>
      </w:r>
      <w:r w:rsidR="00B02165" w:rsidRPr="007678FC">
        <w:rPr>
          <w:rFonts w:ascii="Times New Roman" w:hAnsi="Times New Roman"/>
        </w:rPr>
        <w:t xml:space="preserve"> </w:t>
      </w:r>
      <w:r w:rsidRPr="007678FC">
        <w:rPr>
          <w:rFonts w:ascii="Times New Roman" w:hAnsi="Times New Roman"/>
        </w:rPr>
        <w:t xml:space="preserve">results for </w:t>
      </w:r>
      <w:r w:rsidR="00691F66">
        <w:rPr>
          <w:rFonts w:ascii="Times New Roman" w:hAnsi="Times New Roman"/>
        </w:rPr>
        <w:t xml:space="preserve">Total Resource </w:t>
      </w:r>
      <w:r w:rsidRPr="007678FC">
        <w:rPr>
          <w:rFonts w:ascii="Times New Roman" w:hAnsi="Times New Roman"/>
        </w:rPr>
        <w:t>Utilization Index</w:t>
      </w:r>
      <w:r w:rsidR="00691F66">
        <w:rPr>
          <w:rFonts w:ascii="Times New Roman" w:hAnsi="Times New Roman"/>
        </w:rPr>
        <w:t xml:space="preserve"> (TRUI)</w:t>
      </w:r>
      <w:r w:rsidRPr="007678FC">
        <w:rPr>
          <w:rFonts w:ascii="Times New Roman" w:hAnsi="Times New Roman"/>
        </w:rPr>
        <w:t>.</w:t>
      </w:r>
    </w:p>
    <w:p w:rsidR="00B5780A" w:rsidRPr="007678FC" w:rsidRDefault="00691F66" w:rsidP="00515635">
      <w:pPr>
        <w:pStyle w:val="ListParagraph"/>
        <w:numPr>
          <w:ilvl w:val="1"/>
          <w:numId w:val="14"/>
        </w:numPr>
        <w:spacing w:after="200" w:line="276" w:lineRule="auto"/>
        <w:rPr>
          <w:rFonts w:ascii="Times New Roman" w:hAnsi="Times New Roman"/>
        </w:rPr>
      </w:pPr>
      <w:r>
        <w:rPr>
          <w:rFonts w:ascii="Times New Roman" w:hAnsi="Times New Roman"/>
        </w:rPr>
        <w:t>Three payment levels up</w:t>
      </w:r>
      <w:r w:rsidR="00B5780A" w:rsidRPr="007678FC">
        <w:rPr>
          <w:rFonts w:ascii="Times New Roman" w:hAnsi="Times New Roman"/>
        </w:rPr>
        <w:t xml:space="preserve"> $ 0.</w:t>
      </w:r>
      <w:r w:rsidR="00484348">
        <w:rPr>
          <w:rFonts w:ascii="Times New Roman" w:hAnsi="Times New Roman"/>
        </w:rPr>
        <w:t>25</w:t>
      </w:r>
      <w:r w:rsidR="00B5780A" w:rsidRPr="007678FC">
        <w:rPr>
          <w:rFonts w:ascii="Times New Roman" w:hAnsi="Times New Roman"/>
        </w:rPr>
        <w:t xml:space="preserve"> PPPM </w:t>
      </w:r>
      <w:r>
        <w:rPr>
          <w:rFonts w:ascii="Times New Roman" w:hAnsi="Times New Roman"/>
        </w:rPr>
        <w:t xml:space="preserve">for the top three quartiles with the lowest TRUI scores. Scores are reassessed every </w:t>
      </w:r>
      <w:r w:rsidR="00CD7008">
        <w:rPr>
          <w:rFonts w:ascii="Times New Roman" w:hAnsi="Times New Roman"/>
        </w:rPr>
        <w:t>six months.</w:t>
      </w:r>
      <w:r w:rsidR="00B5780A" w:rsidRPr="007678FC">
        <w:rPr>
          <w:rFonts w:ascii="Times New Roman" w:hAnsi="Times New Roman"/>
        </w:rPr>
        <w:br/>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 xml:space="preserve">Total Payment = Base + HSA Quality Performance + </w:t>
      </w:r>
      <w:r w:rsidR="00B02165">
        <w:rPr>
          <w:rFonts w:ascii="Times New Roman" w:hAnsi="Times New Roman"/>
        </w:rPr>
        <w:t>Practice</w:t>
      </w:r>
      <w:r w:rsidR="00B02165" w:rsidRPr="007678FC">
        <w:rPr>
          <w:rFonts w:ascii="Times New Roman" w:hAnsi="Times New Roman"/>
        </w:rPr>
        <w:t xml:space="preserve"> </w:t>
      </w:r>
      <w:r w:rsidRPr="007678FC">
        <w:rPr>
          <w:rFonts w:ascii="Times New Roman" w:hAnsi="Times New Roman"/>
        </w:rPr>
        <w:t>T</w:t>
      </w:r>
      <w:r w:rsidR="00691F66">
        <w:rPr>
          <w:rFonts w:ascii="Times New Roman" w:hAnsi="Times New Roman"/>
        </w:rPr>
        <w:t>R</w:t>
      </w:r>
      <w:r w:rsidRPr="007678FC">
        <w:rPr>
          <w:rFonts w:ascii="Times New Roman" w:hAnsi="Times New Roman"/>
        </w:rPr>
        <w:t>UI Performance</w:t>
      </w:r>
    </w:p>
    <w:p w:rsidR="002E213F" w:rsidRPr="002E213F" w:rsidRDefault="00484348" w:rsidP="00515635">
      <w:pPr>
        <w:pStyle w:val="ListParagraph"/>
        <w:numPr>
          <w:ilvl w:val="0"/>
          <w:numId w:val="14"/>
        </w:numPr>
        <w:spacing w:after="200" w:line="276" w:lineRule="auto"/>
        <w:rPr>
          <w:rFonts w:ascii="Times New Roman" w:hAnsi="Times New Roman"/>
        </w:rPr>
      </w:pPr>
      <w:r>
        <w:rPr>
          <w:rFonts w:ascii="Times New Roman" w:hAnsi="Times New Roman"/>
        </w:rPr>
        <w:t>Total Payment ranges from $3.00 to $3.5</w:t>
      </w:r>
      <w:r w:rsidR="00B5780A" w:rsidRPr="002E213F">
        <w:rPr>
          <w:rFonts w:ascii="Times New Roman" w:hAnsi="Times New Roman"/>
        </w:rPr>
        <w:t>0 PPPM</w:t>
      </w:r>
      <w:r w:rsidR="00B5780A" w:rsidRPr="002E213F">
        <w:rPr>
          <w:rFonts w:ascii="Times New Roman" w:hAnsi="Times New Roman"/>
        </w:rPr>
        <w:br/>
      </w:r>
    </w:p>
    <w:p w:rsidR="002E213F" w:rsidRPr="007678FC" w:rsidRDefault="002E213F" w:rsidP="002E213F">
      <w:pPr>
        <w:ind w:left="360"/>
        <w:rPr>
          <w:rFonts w:ascii="Times New Roman" w:hAnsi="Times New Roman"/>
          <w:b/>
        </w:rPr>
      </w:pPr>
    </w:p>
    <w:p w:rsidR="002E213F" w:rsidRPr="007678FC" w:rsidRDefault="002E213F" w:rsidP="002E213F">
      <w:pPr>
        <w:keepNext/>
        <w:keepLines/>
        <w:ind w:left="360"/>
        <w:rPr>
          <w:rFonts w:ascii="Times New Roman" w:hAnsi="Times New Roman"/>
          <w:b/>
        </w:rPr>
      </w:pPr>
      <w:r w:rsidRPr="007678FC">
        <w:rPr>
          <w:rFonts w:ascii="Times New Roman" w:hAnsi="Times New Roman"/>
          <w:b/>
        </w:rPr>
        <w:t>Figure 2.  Patient-Centered Medical Home (PCMH) Payments</w:t>
      </w:r>
    </w:p>
    <w:p w:rsidR="002E213F" w:rsidRPr="007678FC" w:rsidRDefault="00B02165" w:rsidP="002E213F">
      <w:pPr>
        <w:keepNext/>
        <w:keepLines/>
        <w:ind w:left="360"/>
        <w:rPr>
          <w:rFonts w:ascii="Times New Roman" w:hAnsi="Times New Roman"/>
          <w:b/>
        </w:rPr>
      </w:pPr>
      <w:r w:rsidRPr="007678FC">
        <w:rPr>
          <w:noProof/>
        </w:rPr>
        <mc:AlternateContent>
          <mc:Choice Requires="wps">
            <w:drawing>
              <wp:anchor distT="0" distB="0" distL="114300" distR="114300" simplePos="0" relativeHeight="251672576" behindDoc="0" locked="0" layoutInCell="1" allowOverlap="1" wp14:anchorId="4F864F83" wp14:editId="6EA532B2">
                <wp:simplePos x="0" y="0"/>
                <wp:positionH relativeFrom="column">
                  <wp:posOffset>3657600</wp:posOffset>
                </wp:positionH>
                <wp:positionV relativeFrom="paragraph">
                  <wp:posOffset>45085</wp:posOffset>
                </wp:positionV>
                <wp:extent cx="2047875" cy="10668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66800"/>
                        </a:xfrm>
                        <a:prstGeom prst="rect">
                          <a:avLst/>
                        </a:prstGeom>
                        <a:solidFill>
                          <a:srgbClr val="CCFF99"/>
                        </a:solidFill>
                        <a:ln w="3175">
                          <a:solidFill>
                            <a:srgbClr val="4F81BD"/>
                          </a:solidFill>
                          <a:miter lim="800000"/>
                          <a:headEnd/>
                          <a:tailEnd/>
                        </a:ln>
                      </wps:spPr>
                      <wps:txbx>
                        <w:txbxContent>
                          <w:p w:rsidR="00C83FBB" w:rsidRPr="00A04BDA" w:rsidRDefault="00C83FBB" w:rsidP="002E213F">
                            <w:pPr>
                              <w:pStyle w:val="NormalWeb"/>
                              <w:textAlignment w:val="baseline"/>
                              <w:rPr>
                                <w:sz w:val="18"/>
                                <w:szCs w:val="18"/>
                              </w:rPr>
                            </w:pPr>
                            <w:r w:rsidRPr="00A04BDA">
                              <w:rPr>
                                <w:rFonts w:ascii="Arial" w:hAnsi="Arial" w:cs="Arial"/>
                                <w:color w:val="000000"/>
                                <w:kern w:val="24"/>
                                <w:sz w:val="18"/>
                                <w:szCs w:val="18"/>
                              </w:rPr>
                              <w:t xml:space="preserve">Payment </w:t>
                            </w:r>
                            <w:r>
                              <w:rPr>
                                <w:rFonts w:ascii="Arial" w:hAnsi="Arial" w:cs="Arial"/>
                                <w:color w:val="000000"/>
                                <w:kern w:val="24"/>
                                <w:sz w:val="18"/>
                                <w:szCs w:val="18"/>
                              </w:rPr>
                              <w:t>tied to HSA</w:t>
                            </w:r>
                            <w:r w:rsidRPr="00A04BDA">
                              <w:rPr>
                                <w:rFonts w:ascii="Arial" w:hAnsi="Arial" w:cs="Arial"/>
                                <w:color w:val="000000"/>
                                <w:kern w:val="24"/>
                                <w:sz w:val="18"/>
                                <w:szCs w:val="18"/>
                              </w:rPr>
                              <w:t xml:space="preserve"> results</w:t>
                            </w:r>
                            <w:r>
                              <w:rPr>
                                <w:rFonts w:ascii="Arial" w:hAnsi="Arial" w:cs="Arial"/>
                                <w:color w:val="000000"/>
                                <w:kern w:val="24"/>
                                <w:sz w:val="18"/>
                                <w:szCs w:val="18"/>
                              </w:rPr>
                              <w:t xml:space="preserve"> for quality* and practice results for utilization.</w:t>
                            </w:r>
                          </w:p>
                          <w:p w:rsidR="00C83FBB" w:rsidRPr="00A04BDA" w:rsidRDefault="00C83FBB" w:rsidP="00515635">
                            <w:pPr>
                              <w:pStyle w:val="ListParagraph"/>
                              <w:numPr>
                                <w:ilvl w:val="0"/>
                                <w:numId w:val="15"/>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 xml:space="preserve">Performance payment </w:t>
                            </w:r>
                            <w:r>
                              <w:rPr>
                                <w:rFonts w:ascii="Arial" w:hAnsi="Arial" w:cs="Arial"/>
                                <w:color w:val="000000"/>
                                <w:kern w:val="24"/>
                                <w:sz w:val="18"/>
                                <w:szCs w:val="18"/>
                              </w:rPr>
                              <w:t xml:space="preserve">based on </w:t>
                            </w:r>
                            <w:r w:rsidRPr="00A04BDA">
                              <w:rPr>
                                <w:rFonts w:ascii="Arial" w:hAnsi="Arial" w:cs="Arial"/>
                                <w:color w:val="000000"/>
                                <w:kern w:val="24"/>
                                <w:sz w:val="18"/>
                                <w:szCs w:val="18"/>
                              </w:rPr>
                              <w:t>benchmarks</w:t>
                            </w:r>
                          </w:p>
                          <w:p w:rsidR="00C83FBB" w:rsidRPr="00A04BDA" w:rsidRDefault="00C83FBB" w:rsidP="00515635">
                            <w:pPr>
                              <w:pStyle w:val="ListParagraph"/>
                              <w:numPr>
                                <w:ilvl w:val="0"/>
                                <w:numId w:val="15"/>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Improvement payment based on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864F83" id="_x0000_t202" coordsize="21600,21600" o:spt="202" path="m,l,21600r21600,l21600,xe">
                <v:stroke joinstyle="miter"/>
                <v:path gradientshapeok="t" o:connecttype="rect"/>
              </v:shapetype>
              <v:shape id="Text Box 23" o:spid="_x0000_s1026" type="#_x0000_t202" style="position:absolute;left:0;text-align:left;margin-left:4in;margin-top:3.55pt;width:161.2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" fillcolor="#cf9" strokecolor="#4f81bd" strokeweight=".25pt">
                <v:textbox>
                  <w:txbxContent>
                    <w:p w:rsidR="00C83FBB" w:rsidRPr="00A04BDA" w:rsidRDefault="00C83FBB" w:rsidP="002E213F">
                      <w:pPr>
                        <w:pStyle w:val="NormalWeb"/>
                        <w:textAlignment w:val="baseline"/>
                        <w:rPr>
                          <w:sz w:val="18"/>
                          <w:szCs w:val="18"/>
                        </w:rPr>
                      </w:pPr>
                      <w:r w:rsidRPr="00A04BDA">
                        <w:rPr>
                          <w:rFonts w:ascii="Arial" w:hAnsi="Arial" w:cs="Arial"/>
                          <w:color w:val="000000"/>
                          <w:kern w:val="24"/>
                          <w:sz w:val="18"/>
                          <w:szCs w:val="18"/>
                        </w:rPr>
                        <w:t xml:space="preserve">Payment </w:t>
                      </w:r>
                      <w:r>
                        <w:rPr>
                          <w:rFonts w:ascii="Arial" w:hAnsi="Arial" w:cs="Arial"/>
                          <w:color w:val="000000"/>
                          <w:kern w:val="24"/>
                          <w:sz w:val="18"/>
                          <w:szCs w:val="18"/>
                        </w:rPr>
                        <w:t>tied to HSA</w:t>
                      </w:r>
                      <w:r w:rsidRPr="00A04BDA">
                        <w:rPr>
                          <w:rFonts w:ascii="Arial" w:hAnsi="Arial" w:cs="Arial"/>
                          <w:color w:val="000000"/>
                          <w:kern w:val="24"/>
                          <w:sz w:val="18"/>
                          <w:szCs w:val="18"/>
                        </w:rPr>
                        <w:t xml:space="preserve"> results</w:t>
                      </w:r>
                      <w:r>
                        <w:rPr>
                          <w:rFonts w:ascii="Arial" w:hAnsi="Arial" w:cs="Arial"/>
                          <w:color w:val="000000"/>
                          <w:kern w:val="24"/>
                          <w:sz w:val="18"/>
                          <w:szCs w:val="18"/>
                        </w:rPr>
                        <w:t xml:space="preserve"> for quality* and practice results for utilization.</w:t>
                      </w:r>
                    </w:p>
                    <w:p w:rsidR="00C83FBB" w:rsidRPr="00A04BDA" w:rsidRDefault="00C83FBB" w:rsidP="00515635">
                      <w:pPr>
                        <w:pStyle w:val="ListParagraph"/>
                        <w:numPr>
                          <w:ilvl w:val="0"/>
                          <w:numId w:val="15"/>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 xml:space="preserve">Performance payment </w:t>
                      </w:r>
                      <w:r>
                        <w:rPr>
                          <w:rFonts w:ascii="Arial" w:hAnsi="Arial" w:cs="Arial"/>
                          <w:color w:val="000000"/>
                          <w:kern w:val="24"/>
                          <w:sz w:val="18"/>
                          <w:szCs w:val="18"/>
                        </w:rPr>
                        <w:t xml:space="preserve">based on </w:t>
                      </w:r>
                      <w:r w:rsidRPr="00A04BDA">
                        <w:rPr>
                          <w:rFonts w:ascii="Arial" w:hAnsi="Arial" w:cs="Arial"/>
                          <w:color w:val="000000"/>
                          <w:kern w:val="24"/>
                          <w:sz w:val="18"/>
                          <w:szCs w:val="18"/>
                        </w:rPr>
                        <w:t>benchmarks</w:t>
                      </w:r>
                    </w:p>
                    <w:p w:rsidR="00C83FBB" w:rsidRPr="00A04BDA" w:rsidRDefault="00C83FBB" w:rsidP="00515635">
                      <w:pPr>
                        <w:pStyle w:val="ListParagraph"/>
                        <w:numPr>
                          <w:ilvl w:val="0"/>
                          <w:numId w:val="15"/>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Improvement payment based on change</w:t>
                      </w:r>
                    </w:p>
                  </w:txbxContent>
                </v:textbox>
              </v:shape>
            </w:pict>
          </mc:Fallback>
        </mc:AlternateContent>
      </w:r>
    </w:p>
    <w:p w:rsidR="002E213F" w:rsidRPr="007678FC" w:rsidRDefault="002E213F" w:rsidP="002E213F">
      <w:pPr>
        <w:keepNext/>
        <w:keepLines/>
        <w:rPr>
          <w:rFonts w:ascii="Times New Roman" w:hAnsi="Times New Roman"/>
        </w:rPr>
      </w:pPr>
      <w:r w:rsidRPr="007678FC">
        <w:rPr>
          <w:noProof/>
        </w:rPr>
        <mc:AlternateContent>
          <mc:Choice Requires="wps">
            <w:drawing>
              <wp:anchor distT="4294967295" distB="4294967295" distL="114300" distR="114300" simplePos="0" relativeHeight="251675648" behindDoc="0" locked="0" layoutInCell="1" allowOverlap="1" wp14:anchorId="5296DC43" wp14:editId="008CCB17">
                <wp:simplePos x="0" y="0"/>
                <wp:positionH relativeFrom="column">
                  <wp:posOffset>3221355</wp:posOffset>
                </wp:positionH>
                <wp:positionV relativeFrom="paragraph">
                  <wp:posOffset>1428115</wp:posOffset>
                </wp:positionV>
                <wp:extent cx="455295" cy="0"/>
                <wp:effectExtent l="0" t="9525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5295" cy="0"/>
                        </a:xfrm>
                        <a:prstGeom prst="straightConnector1">
                          <a:avLst/>
                        </a:prstGeom>
                        <a:noFill/>
                        <a:ln w="2857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385AB" id="_x0000_t32" coordsize="21600,21600" o:spt="32" o:oned="t" path="m,l21600,21600e" filled="f">
                <v:path arrowok="t" fillok="f" o:connecttype="none"/>
                <o:lock v:ext="edit" shapetype="t"/>
              </v:shapetype>
              <v:shape id="Straight Arrow Connector 21" o:spid="_x0000_s1026" type="#_x0000_t32" style="position:absolute;margin-left:253.65pt;margin-top:112.45pt;width:35.8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" strokecolor="#4a7ebb" strokeweight="2.25pt">
                <v:stroke endarrow="block"/>
                <o:lock v:ext="edit" shapetype="f"/>
              </v:shape>
            </w:pict>
          </mc:Fallback>
        </mc:AlternateContent>
      </w:r>
      <w:r w:rsidRPr="007678FC">
        <w:rPr>
          <w:noProof/>
        </w:rPr>
        <mc:AlternateContent>
          <mc:Choice Requires="wps">
            <w:drawing>
              <wp:anchor distT="0" distB="0" distL="114300" distR="114300" simplePos="0" relativeHeight="251674624" behindDoc="0" locked="0" layoutInCell="1" allowOverlap="1" wp14:anchorId="3457CF2E" wp14:editId="27B3D66E">
                <wp:simplePos x="0" y="0"/>
                <wp:positionH relativeFrom="column">
                  <wp:posOffset>3674745</wp:posOffset>
                </wp:positionH>
                <wp:positionV relativeFrom="paragraph">
                  <wp:posOffset>1047750</wp:posOffset>
                </wp:positionV>
                <wp:extent cx="2028825" cy="7239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23900"/>
                        </a:xfrm>
                        <a:prstGeom prst="rect">
                          <a:avLst/>
                        </a:prstGeom>
                        <a:solidFill>
                          <a:srgbClr val="CCFF99"/>
                        </a:solidFill>
                        <a:ln w="3175">
                          <a:solidFill>
                            <a:srgbClr val="4F81BD"/>
                          </a:solidFill>
                          <a:miter lim="800000"/>
                          <a:headEnd/>
                          <a:tailEnd/>
                        </a:ln>
                      </wps:spPr>
                      <wps:txbx>
                        <w:txbxContent>
                          <w:p w:rsidR="00C83FBB" w:rsidRPr="00A04BDA" w:rsidRDefault="00C83FBB" w:rsidP="002E213F">
                            <w:pPr>
                              <w:pStyle w:val="NormalWeb"/>
                              <w:textAlignment w:val="baseline"/>
                              <w:rPr>
                                <w:sz w:val="18"/>
                                <w:szCs w:val="18"/>
                              </w:rPr>
                            </w:pPr>
                            <w:r w:rsidRPr="00A04BDA">
                              <w:rPr>
                                <w:rFonts w:ascii="Arial" w:hAnsi="Arial" w:cs="Arial"/>
                                <w:color w:val="000000"/>
                                <w:kern w:val="24"/>
                                <w:sz w:val="18"/>
                                <w:szCs w:val="18"/>
                              </w:rPr>
                              <w:t xml:space="preserve">Payment </w:t>
                            </w:r>
                            <w:r>
                              <w:rPr>
                                <w:rFonts w:ascii="Arial" w:hAnsi="Arial" w:cs="Arial"/>
                                <w:color w:val="000000"/>
                                <w:kern w:val="24"/>
                                <w:sz w:val="18"/>
                                <w:szCs w:val="18"/>
                              </w:rPr>
                              <w:t xml:space="preserve">tied to </w:t>
                            </w:r>
                            <w:r w:rsidRPr="00A04BDA">
                              <w:rPr>
                                <w:rFonts w:ascii="Arial" w:hAnsi="Arial" w:cs="Arial"/>
                                <w:color w:val="000000"/>
                                <w:kern w:val="24"/>
                                <w:sz w:val="18"/>
                                <w:szCs w:val="18"/>
                              </w:rPr>
                              <w:t>practice activity</w:t>
                            </w:r>
                          </w:p>
                          <w:p w:rsidR="00C83FBB" w:rsidRPr="00A04BDA" w:rsidRDefault="00C83FBB" w:rsidP="00515635">
                            <w:pPr>
                              <w:pStyle w:val="ListParagraph"/>
                              <w:numPr>
                                <w:ilvl w:val="0"/>
                                <w:numId w:val="16"/>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Participation in CC initiatives**</w:t>
                            </w:r>
                          </w:p>
                          <w:p w:rsidR="00C83FBB" w:rsidRPr="00AF12A5" w:rsidRDefault="00C83FBB" w:rsidP="00515635">
                            <w:pPr>
                              <w:pStyle w:val="ListParagraph"/>
                              <w:numPr>
                                <w:ilvl w:val="0"/>
                                <w:numId w:val="16"/>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Recognition on 2014</w:t>
                            </w:r>
                            <w:r>
                              <w:rPr>
                                <w:rFonts w:ascii="Arial" w:hAnsi="Arial" w:cs="Arial"/>
                                <w:color w:val="000000"/>
                                <w:kern w:val="24"/>
                                <w:sz w:val="18"/>
                                <w:szCs w:val="18"/>
                              </w:rPr>
                              <w:t xml:space="preserve"> or 2017</w:t>
                            </w:r>
                            <w:r w:rsidRPr="00A04BDA">
                              <w:rPr>
                                <w:rFonts w:ascii="Arial" w:hAnsi="Arial" w:cs="Arial"/>
                                <w:color w:val="000000"/>
                                <w:kern w:val="24"/>
                                <w:sz w:val="18"/>
                                <w:szCs w:val="18"/>
                              </w:rPr>
                              <w:t xml:space="preserve"> NCQA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7CF2E" id="Text Box 22" o:spid="_x0000_s1027" type="#_x0000_t202" style="position:absolute;margin-left:289.35pt;margin-top:82.5pt;width:159.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" fillcolor="#cf9" strokecolor="#4f81bd" strokeweight=".25pt">
                <v:textbox>
                  <w:txbxContent>
                    <w:p w:rsidR="00C83FBB" w:rsidRPr="00A04BDA" w:rsidRDefault="00C83FBB" w:rsidP="002E213F">
                      <w:pPr>
                        <w:pStyle w:val="NormalWeb"/>
                        <w:textAlignment w:val="baseline"/>
                        <w:rPr>
                          <w:sz w:val="18"/>
                          <w:szCs w:val="18"/>
                        </w:rPr>
                      </w:pPr>
                      <w:r w:rsidRPr="00A04BDA">
                        <w:rPr>
                          <w:rFonts w:ascii="Arial" w:hAnsi="Arial" w:cs="Arial"/>
                          <w:color w:val="000000"/>
                          <w:kern w:val="24"/>
                          <w:sz w:val="18"/>
                          <w:szCs w:val="18"/>
                        </w:rPr>
                        <w:t xml:space="preserve">Payment </w:t>
                      </w:r>
                      <w:r>
                        <w:rPr>
                          <w:rFonts w:ascii="Arial" w:hAnsi="Arial" w:cs="Arial"/>
                          <w:color w:val="000000"/>
                          <w:kern w:val="24"/>
                          <w:sz w:val="18"/>
                          <w:szCs w:val="18"/>
                        </w:rPr>
                        <w:t xml:space="preserve">tied to </w:t>
                      </w:r>
                      <w:r w:rsidRPr="00A04BDA">
                        <w:rPr>
                          <w:rFonts w:ascii="Arial" w:hAnsi="Arial" w:cs="Arial"/>
                          <w:color w:val="000000"/>
                          <w:kern w:val="24"/>
                          <w:sz w:val="18"/>
                          <w:szCs w:val="18"/>
                        </w:rPr>
                        <w:t>practice activity</w:t>
                      </w:r>
                    </w:p>
                    <w:p w:rsidR="00C83FBB" w:rsidRPr="00A04BDA" w:rsidRDefault="00C83FBB" w:rsidP="00515635">
                      <w:pPr>
                        <w:pStyle w:val="ListParagraph"/>
                        <w:numPr>
                          <w:ilvl w:val="0"/>
                          <w:numId w:val="16"/>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Participation in CC initiatives**</w:t>
                      </w:r>
                    </w:p>
                    <w:p w:rsidR="00C83FBB" w:rsidRPr="00AF12A5" w:rsidRDefault="00C83FBB" w:rsidP="00515635">
                      <w:pPr>
                        <w:pStyle w:val="ListParagraph"/>
                        <w:numPr>
                          <w:ilvl w:val="0"/>
                          <w:numId w:val="16"/>
                        </w:numPr>
                        <w:tabs>
                          <w:tab w:val="clear" w:pos="720"/>
                          <w:tab w:val="num" w:pos="270"/>
                        </w:tabs>
                        <w:ind w:left="270" w:hanging="180"/>
                        <w:textAlignment w:val="baseline"/>
                        <w:rPr>
                          <w:rFonts w:eastAsia="Times New Roman"/>
                          <w:color w:val="FF0000"/>
                          <w:sz w:val="18"/>
                          <w:szCs w:val="18"/>
                        </w:rPr>
                      </w:pPr>
                      <w:r w:rsidRPr="00A04BDA">
                        <w:rPr>
                          <w:rFonts w:ascii="Arial" w:hAnsi="Arial" w:cs="Arial"/>
                          <w:color w:val="000000"/>
                          <w:kern w:val="24"/>
                          <w:sz w:val="18"/>
                          <w:szCs w:val="18"/>
                        </w:rPr>
                        <w:t>Recognition on 2014</w:t>
                      </w:r>
                      <w:r>
                        <w:rPr>
                          <w:rFonts w:ascii="Arial" w:hAnsi="Arial" w:cs="Arial"/>
                          <w:color w:val="000000"/>
                          <w:kern w:val="24"/>
                          <w:sz w:val="18"/>
                          <w:szCs w:val="18"/>
                        </w:rPr>
                        <w:t xml:space="preserve"> or 2017</w:t>
                      </w:r>
                      <w:r w:rsidRPr="00A04BDA">
                        <w:rPr>
                          <w:rFonts w:ascii="Arial" w:hAnsi="Arial" w:cs="Arial"/>
                          <w:color w:val="000000"/>
                          <w:kern w:val="24"/>
                          <w:sz w:val="18"/>
                          <w:szCs w:val="18"/>
                        </w:rPr>
                        <w:t xml:space="preserve"> NCQA standards***</w:t>
                      </w:r>
                    </w:p>
                  </w:txbxContent>
                </v:textbox>
              </v:shape>
            </w:pict>
          </mc:Fallback>
        </mc:AlternateContent>
      </w:r>
      <w:r w:rsidRPr="007678FC">
        <w:rPr>
          <w:noProof/>
        </w:rPr>
        <mc:AlternateContent>
          <mc:Choice Requires="wps">
            <w:drawing>
              <wp:anchor distT="4294967295" distB="4294967295" distL="114300" distR="114300" simplePos="0" relativeHeight="251673600" behindDoc="0" locked="0" layoutInCell="1" allowOverlap="1" wp14:anchorId="3935FA36" wp14:editId="66CCCD4F">
                <wp:simplePos x="0" y="0"/>
                <wp:positionH relativeFrom="column">
                  <wp:posOffset>3200400</wp:posOffset>
                </wp:positionH>
                <wp:positionV relativeFrom="paragraph">
                  <wp:posOffset>673734</wp:posOffset>
                </wp:positionV>
                <wp:extent cx="455295" cy="0"/>
                <wp:effectExtent l="0" t="95250" r="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5295" cy="0"/>
                        </a:xfrm>
                        <a:prstGeom prst="straightConnector1">
                          <a:avLst/>
                        </a:prstGeom>
                        <a:noFill/>
                        <a:ln w="2857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8DE3D" id="Straight Arrow Connector 24" o:spid="_x0000_s1026" type="#_x0000_t32" style="position:absolute;margin-left:252pt;margin-top:53.05pt;width:35.8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" strokecolor="#4a7ebb" strokeweight="2.25pt">
                <v:stroke endarrow="block"/>
                <o:lock v:ext="edit" shapetype="f"/>
              </v:shape>
            </w:pict>
          </mc:Fallback>
        </mc:AlternateContent>
      </w:r>
      <w:r w:rsidRPr="007678FC">
        <w:rPr>
          <w:rFonts w:ascii="Times New Roman" w:hAnsi="Times New Roman"/>
          <w:noProof/>
        </w:rPr>
        <w:drawing>
          <wp:inline distT="0" distB="0" distL="0" distR="0" wp14:anchorId="0F25DC7F" wp14:editId="3A88BD7E">
            <wp:extent cx="4086225" cy="2867025"/>
            <wp:effectExtent l="0" t="0" r="0" b="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E213F" w:rsidRPr="007678FC" w:rsidRDefault="002E213F" w:rsidP="002E213F">
      <w:pPr>
        <w:keepNext/>
        <w:keepLines/>
        <w:rPr>
          <w:rFonts w:ascii="Times New Roman" w:hAnsi="Times New Roman"/>
          <w:sz w:val="20"/>
          <w:szCs w:val="20"/>
        </w:rPr>
      </w:pPr>
      <w:r w:rsidRPr="007678FC">
        <w:rPr>
          <w:rFonts w:ascii="Times New Roman" w:hAnsi="Times New Roman"/>
        </w:rPr>
        <w:t xml:space="preserve">    </w:t>
      </w:r>
      <w:r w:rsidRPr="007678FC">
        <w:rPr>
          <w:rFonts w:ascii="Times New Roman" w:hAnsi="Times New Roman"/>
          <w:sz w:val="20"/>
          <w:szCs w:val="20"/>
        </w:rPr>
        <w:t>*Incentive to work with CC partners to improve service area results.</w:t>
      </w:r>
    </w:p>
    <w:p w:rsidR="002E213F" w:rsidRPr="007678FC" w:rsidRDefault="002E213F" w:rsidP="002E213F">
      <w:pPr>
        <w:keepNext/>
        <w:keepLines/>
        <w:rPr>
          <w:rFonts w:ascii="Times New Roman" w:hAnsi="Times New Roman"/>
          <w:sz w:val="20"/>
          <w:szCs w:val="20"/>
        </w:rPr>
      </w:pPr>
      <w:r w:rsidRPr="007678FC">
        <w:rPr>
          <w:rFonts w:ascii="Times New Roman" w:hAnsi="Times New Roman"/>
          <w:sz w:val="20"/>
          <w:szCs w:val="20"/>
        </w:rPr>
        <w:t xml:space="preserve">  **Organize practice and CHT activity as part of at least one CC quality initiative per year.</w:t>
      </w:r>
    </w:p>
    <w:p w:rsidR="002E213F" w:rsidRPr="007678FC" w:rsidRDefault="002E213F" w:rsidP="002E213F">
      <w:pPr>
        <w:keepNext/>
        <w:keepLines/>
        <w:rPr>
          <w:rFonts w:ascii="Times New Roman" w:hAnsi="Times New Roman"/>
          <w:sz w:val="20"/>
          <w:szCs w:val="20"/>
        </w:rPr>
      </w:pPr>
      <w:r w:rsidRPr="007678FC">
        <w:rPr>
          <w:rFonts w:ascii="Times New Roman" w:hAnsi="Times New Roman"/>
          <w:sz w:val="20"/>
          <w:szCs w:val="20"/>
        </w:rPr>
        <w:t xml:space="preserve">***Payment tied to recognition on NCQA 2014 </w:t>
      </w:r>
      <w:r w:rsidR="00347534">
        <w:rPr>
          <w:rFonts w:ascii="Times New Roman" w:hAnsi="Times New Roman"/>
          <w:sz w:val="20"/>
          <w:szCs w:val="20"/>
        </w:rPr>
        <w:t xml:space="preserve">or </w:t>
      </w:r>
      <w:r w:rsidR="00097ECD">
        <w:rPr>
          <w:rFonts w:ascii="Times New Roman" w:hAnsi="Times New Roman"/>
          <w:sz w:val="20"/>
          <w:szCs w:val="20"/>
        </w:rPr>
        <w:t xml:space="preserve">engagement and subsequent recognition on </w:t>
      </w:r>
      <w:r w:rsidR="00347534">
        <w:rPr>
          <w:rFonts w:ascii="Times New Roman" w:hAnsi="Times New Roman"/>
          <w:sz w:val="20"/>
          <w:szCs w:val="20"/>
        </w:rPr>
        <w:t xml:space="preserve">2017 </w:t>
      </w:r>
      <w:r w:rsidRPr="007678FC">
        <w:rPr>
          <w:rFonts w:ascii="Times New Roman" w:hAnsi="Times New Roman"/>
          <w:sz w:val="20"/>
          <w:szCs w:val="20"/>
        </w:rPr>
        <w:t>standards</w:t>
      </w:r>
    </w:p>
    <w:p w:rsidR="002E213F" w:rsidRPr="007678FC" w:rsidRDefault="002E213F" w:rsidP="002E213F">
      <w:pPr>
        <w:rPr>
          <w:rFonts w:ascii="Times New Roman" w:hAnsi="Times New Roman"/>
        </w:rPr>
      </w:pPr>
    </w:p>
    <w:p w:rsidR="002E213F" w:rsidRDefault="002E213F" w:rsidP="002E213F"/>
    <w:p w:rsidR="00B5780A" w:rsidRPr="007678FC" w:rsidRDefault="00B5780A" w:rsidP="00B5780A">
      <w:pPr>
        <w:rPr>
          <w:rFonts w:ascii="Times New Roman" w:hAnsi="Times New Roman"/>
        </w:rPr>
      </w:pPr>
      <w:r w:rsidRPr="007678FC">
        <w:rPr>
          <w:rFonts w:ascii="Times New Roman" w:hAnsi="Times New Roman"/>
        </w:rPr>
        <w:t xml:space="preserve">The new payment model is designed to promote collaboration and interdependent work by linking a portion of each practice's potential earnings to measure results for the whole service </w:t>
      </w:r>
      <w:r w:rsidRPr="007678FC">
        <w:rPr>
          <w:rFonts w:ascii="Times New Roman" w:hAnsi="Times New Roman"/>
        </w:rPr>
        <w:lastRenderedPageBreak/>
        <w:t xml:space="preserve">area (HSA).  It is also intended to more directly focus efforts on improved health outcomes and reduced growth in health expenditures.  In theory, the combination of the UCC structure and decision making process, with the interdependent nature of the payment model, will lead to better organization and coordination across provider groups.  In contrast, a medical home payment linked solely to practice quality is less likely to stimulate better coordination across a service area.  Although fee for service is still the predominate payment, this PCMH PPPM payment model is an important </w:t>
      </w:r>
      <w:r w:rsidRPr="007678FC">
        <w:rPr>
          <w:rFonts w:ascii="Times New Roman" w:hAnsi="Times New Roman"/>
          <w:i/>
        </w:rPr>
        <w:t>step</w:t>
      </w:r>
      <w:r w:rsidRPr="007678FC">
        <w:rPr>
          <w:rFonts w:ascii="Times New Roman" w:hAnsi="Times New Roman"/>
        </w:rPr>
        <w:t xml:space="preserve"> towards a more complete capitated payment structure with a performance component that is anticipated for 2017</w:t>
      </w:r>
      <w:r w:rsidRPr="007678FC">
        <w:rPr>
          <w:rFonts w:ascii="Times New Roman" w:hAnsi="Times New Roman"/>
          <w:i/>
        </w:rPr>
        <w:t>.</w:t>
      </w:r>
      <w:r w:rsidRPr="007678FC">
        <w:rPr>
          <w:rFonts w:ascii="Times New Roman" w:hAnsi="Times New Roman"/>
        </w:rPr>
        <w:t xml:space="preserve"> It will help to stimulate the culture and activity that is essential for a high value, community oriented health system.  </w:t>
      </w:r>
    </w:p>
    <w:p w:rsidR="00B5780A" w:rsidRPr="007678FC" w:rsidRDefault="00B5780A" w:rsidP="00B5780A">
      <w:pPr>
        <w:rPr>
          <w:rFonts w:ascii="Times New Roman" w:hAnsi="Times New Roman"/>
        </w:rPr>
      </w:pPr>
    </w:p>
    <w:p w:rsidR="00B5780A" w:rsidRPr="007678FC" w:rsidRDefault="00B5780A" w:rsidP="00B5780A">
      <w:pPr>
        <w:rPr>
          <w:rFonts w:ascii="Times New Roman" w:hAnsi="Times New Roman"/>
        </w:rPr>
      </w:pPr>
      <w:r w:rsidRPr="007678FC">
        <w:rPr>
          <w:rFonts w:ascii="Times New Roman" w:hAnsi="Times New Roman"/>
        </w:rPr>
        <w:t xml:space="preserve">The incentive structure that is woven into the payment model includes: </w:t>
      </w:r>
    </w:p>
    <w:p w:rsidR="00B5780A" w:rsidRPr="007678FC" w:rsidRDefault="00B5780A" w:rsidP="00B5780A">
      <w:pPr>
        <w:rPr>
          <w:rFonts w:ascii="Times New Roman" w:hAnsi="Times New Roman"/>
        </w:rPr>
      </w:pP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 xml:space="preserve">Requires active and meaningful participation in UCCs including: attention to variable and unequal outcomes on core measures; and, coordination with collaborative partners to improve services.    </w:t>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 xml:space="preserve">Requires that practices </w:t>
      </w:r>
      <w:r w:rsidR="00347534">
        <w:rPr>
          <w:rFonts w:ascii="Times New Roman" w:hAnsi="Times New Roman"/>
        </w:rPr>
        <w:t xml:space="preserve">engage and </w:t>
      </w:r>
      <w:r w:rsidRPr="007678FC">
        <w:rPr>
          <w:rFonts w:ascii="Times New Roman" w:hAnsi="Times New Roman"/>
        </w:rPr>
        <w:t xml:space="preserve">maintain NCQA recognition, however shifts the emphasis to the most important Must Pass elements in the medical home standards and de-emphasizes the intensive documentation that is required to achieve the highest score.  </w:t>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 xml:space="preserve">Introduces a balance between payment for the quality of the process (NCQA standards) and payment for outcomes (quality and utilization) </w:t>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Rewards coordination with UCC partners to achieve better results on service area outcomes for a composite of core quality measures (directly links incentives for medical homes to statewide healthcare reform priorities)</w:t>
      </w:r>
    </w:p>
    <w:p w:rsidR="00B5780A" w:rsidRPr="007678FC" w:rsidRDefault="00B5780A" w:rsidP="00515635">
      <w:pPr>
        <w:pStyle w:val="ListParagraph"/>
        <w:numPr>
          <w:ilvl w:val="0"/>
          <w:numId w:val="14"/>
        </w:numPr>
        <w:spacing w:after="200" w:line="276" w:lineRule="auto"/>
        <w:rPr>
          <w:rFonts w:ascii="Times New Roman" w:hAnsi="Times New Roman"/>
        </w:rPr>
      </w:pPr>
      <w:r w:rsidRPr="007678FC">
        <w:rPr>
          <w:rFonts w:ascii="Times New Roman" w:hAnsi="Times New Roman"/>
        </w:rPr>
        <w:t xml:space="preserve">Rewards coordination with UCC partners to achieve better </w:t>
      </w:r>
      <w:r w:rsidR="00B02165">
        <w:rPr>
          <w:rFonts w:ascii="Times New Roman" w:hAnsi="Times New Roman"/>
        </w:rPr>
        <w:t>practice</w:t>
      </w:r>
      <w:r w:rsidRPr="007678FC">
        <w:rPr>
          <w:rFonts w:ascii="Times New Roman" w:hAnsi="Times New Roman"/>
        </w:rPr>
        <w:t xml:space="preserve"> results for the total </w:t>
      </w:r>
      <w:r w:rsidR="00CD7008">
        <w:rPr>
          <w:rFonts w:ascii="Times New Roman" w:hAnsi="Times New Roman"/>
        </w:rPr>
        <w:t xml:space="preserve">resource </w:t>
      </w:r>
      <w:r w:rsidRPr="007678FC">
        <w:rPr>
          <w:rFonts w:ascii="Times New Roman" w:hAnsi="Times New Roman"/>
        </w:rPr>
        <w:t>utilization index</w:t>
      </w:r>
      <w:r w:rsidR="009A2902">
        <w:rPr>
          <w:rFonts w:ascii="Times New Roman" w:hAnsi="Times New Roman"/>
        </w:rPr>
        <w:t xml:space="preserve"> (TRUI)</w:t>
      </w:r>
      <w:r w:rsidRPr="007678FC">
        <w:rPr>
          <w:rFonts w:ascii="Times New Roman" w:hAnsi="Times New Roman"/>
        </w:rPr>
        <w:t xml:space="preserve"> (case mix adjusted), which has a predictable impact on healthcare expenditures (directly links incentives for medical homes to statewide healthcare reform priorities)</w:t>
      </w:r>
    </w:p>
    <w:p w:rsidR="00B5780A" w:rsidRPr="007678FC" w:rsidRDefault="00B5780A" w:rsidP="00B5780A">
      <w:pPr>
        <w:rPr>
          <w:rFonts w:ascii="Times New Roman" w:hAnsi="Times New Roman"/>
        </w:rPr>
      </w:pPr>
    </w:p>
    <w:p w:rsidR="00B5780A" w:rsidRPr="007678FC" w:rsidRDefault="00B5780A" w:rsidP="00B5780A">
      <w:r w:rsidRPr="007678FC">
        <w:rPr>
          <w:rFonts w:ascii="Times New Roman" w:hAnsi="Times New Roman"/>
          <w:i/>
        </w:rPr>
        <w:t xml:space="preserve">Opportunity to improve care and reduce variation.  </w:t>
      </w:r>
      <w:r w:rsidRPr="007678FC">
        <w:rPr>
          <w:rFonts w:ascii="Times New Roman" w:hAnsi="Times New Roman"/>
        </w:rPr>
        <w:t>It is important to note that across Vermont there is significant variation in the results of quality and utilization measures, after adjustment for important differences in the populations served.  Unequal quality and utilization, for comparable populations with comparable health needs, provides an opportunity to examine differences in regional health services, and to plan strategies that improve the overall quality of healthcare that citizens receive.  The Blueprint currently publishes Profiles displaying adjusted comparative measure results for each participating practice and for each service area.  The profiles include the results of core quality measures which have been selected thru a statewide consensus process.  The objective display of the variation that exists across service areas, and across practices within each service area, can support the work of the UCCs including identification of opportunities where quality and utilization should be more equal, and implementation of targeted strategies to reduce undesirable variation.</w:t>
      </w:r>
    </w:p>
    <w:p w:rsidR="00CD0C77" w:rsidRPr="007678FC" w:rsidRDefault="00CD0C77" w:rsidP="007700B2">
      <w:pPr>
        <w:rPr>
          <w:rFonts w:cs="Arial"/>
        </w:rPr>
      </w:pPr>
    </w:p>
    <w:p w:rsidR="007700B2" w:rsidRPr="007678FC" w:rsidRDefault="007700B2" w:rsidP="000815EB">
      <w:pPr>
        <w:pStyle w:val="Heading2"/>
      </w:pPr>
      <w:bookmarkStart w:id="102" w:name="_Toc419884059"/>
      <w:bookmarkStart w:id="103" w:name="_Toc419884339"/>
      <w:bookmarkStart w:id="104" w:name="_Toc440036734"/>
      <w:bookmarkStart w:id="105" w:name="_Toc521488603"/>
      <w:r w:rsidRPr="007678FC">
        <w:lastRenderedPageBreak/>
        <w:t>Community Health Team Payments</w:t>
      </w:r>
      <w:bookmarkEnd w:id="102"/>
      <w:bookmarkEnd w:id="103"/>
      <w:bookmarkEnd w:id="104"/>
      <w:bookmarkEnd w:id="105"/>
    </w:p>
    <w:p w:rsidR="004F712B" w:rsidRPr="007678FC" w:rsidRDefault="004F712B" w:rsidP="007700B2">
      <w:pPr>
        <w:spacing w:after="240"/>
        <w:rPr>
          <w:rFonts w:cs="Arial"/>
        </w:rPr>
      </w:pPr>
      <w:r w:rsidRPr="007678FC">
        <w:rPr>
          <w:rFonts w:cs="Arial"/>
        </w:rPr>
        <w:t xml:space="preserve">The purpose of Community Health Teams, and </w:t>
      </w:r>
      <w:r w:rsidR="007B1E4A" w:rsidRPr="007678FC">
        <w:rPr>
          <w:rFonts w:cs="Arial"/>
        </w:rPr>
        <w:t xml:space="preserve">of </w:t>
      </w:r>
      <w:r w:rsidRPr="007678FC">
        <w:rPr>
          <w:rFonts w:cs="Arial"/>
        </w:rPr>
        <w:t xml:space="preserve">Community Health Team payments, is to serve the general population, regardless of insurance status.  </w:t>
      </w:r>
      <w:r w:rsidR="007700B2" w:rsidRPr="007678FC">
        <w:rPr>
          <w:rFonts w:cs="Arial"/>
        </w:rPr>
        <w:t>The insurers will share the costs associated with the core Community Health Team</w:t>
      </w:r>
      <w:r w:rsidRPr="007678FC">
        <w:rPr>
          <w:rFonts w:cs="Arial"/>
        </w:rPr>
        <w:t xml:space="preserve"> staffing, and will send their share of CHT costs to the Administrative entity or entities in each HSA that are responsible for hiring CHT members.</w:t>
      </w:r>
      <w:r w:rsidR="007700B2" w:rsidRPr="007678FC">
        <w:rPr>
          <w:rFonts w:cs="Arial"/>
        </w:rPr>
        <w:t xml:space="preserve">  </w:t>
      </w:r>
    </w:p>
    <w:p w:rsidR="00B33EF7" w:rsidRPr="007678FC" w:rsidRDefault="00C51C79" w:rsidP="00CD0C77">
      <w:pPr>
        <w:spacing w:after="240"/>
        <w:rPr>
          <w:rFonts w:cs="Arial"/>
        </w:rPr>
      </w:pPr>
      <w:r w:rsidRPr="007678FC">
        <w:rPr>
          <w:rFonts w:cs="Arial"/>
        </w:rPr>
        <w:t>To estimate the size of the population that will be served by CHTs, and the number of CHT members that will serve the population, participating practices and participating payers will calculate and report the number of active Blueprint-attributed patients seen in Blueprint practices in the previous two years.</w:t>
      </w:r>
      <w:r w:rsidR="007700B2" w:rsidRPr="007678FC">
        <w:rPr>
          <w:rFonts w:cs="Arial"/>
        </w:rPr>
        <w:t xml:space="preserve">   One of the goals of the CHT is to work with practices to optimize the number of patients that engage in preventive care and recommended health maintenance.  The 24 month look back period is an attempt to estimate the number of active patients in a practice that can potentially be engaged in preventive care with effective outreach from Advanced Primary Care Practices and Community Health Teams.</w:t>
      </w:r>
    </w:p>
    <w:p w:rsidR="00DC08EB" w:rsidRPr="007678FC" w:rsidRDefault="00DC08EB" w:rsidP="00DC08EB">
      <w:pPr>
        <w:widowControl w:val="0"/>
        <w:spacing w:before="100" w:beforeAutospacing="1" w:after="100" w:afterAutospacing="1"/>
      </w:pPr>
      <w:r w:rsidRPr="007678FC">
        <w:t>All participating payers will share in the cost of the CHTs, proportional to their share of the payer-reported, claims-attributed, Blueprint patient population</w:t>
      </w:r>
      <w:r w:rsidR="00847471" w:rsidRPr="007678FC">
        <w:t xml:space="preserve"> (claims-attributed total unique patients)</w:t>
      </w:r>
      <w:r w:rsidRPr="007678FC">
        <w:t>.</w:t>
      </w:r>
      <w:r w:rsidR="00D64445" w:rsidRPr="007678FC">
        <w:t xml:space="preserve">  Patient volume and payer contribution proportions will be derived from the attribution and </w:t>
      </w:r>
      <w:r w:rsidR="00847471" w:rsidRPr="007678FC">
        <w:t xml:space="preserve">PCMH </w:t>
      </w:r>
      <w:r w:rsidR="00D64445" w:rsidRPr="007678FC">
        <w:t>payment reports submitted quarterly by payers to the Blueprint</w:t>
      </w:r>
      <w:r w:rsidR="00D936F9" w:rsidRPr="007678FC">
        <w:t xml:space="preserve">, and </w:t>
      </w:r>
      <w:r w:rsidR="00BC3518" w:rsidRPr="007678FC">
        <w:t>payment calculation updates</w:t>
      </w:r>
      <w:r w:rsidR="00D936F9" w:rsidRPr="007678FC">
        <w:t xml:space="preserve"> will be lagged by at least one quarter to allow for the receipt of complete </w:t>
      </w:r>
      <w:r w:rsidR="00BC3518" w:rsidRPr="007678FC">
        <w:t xml:space="preserve">attribution </w:t>
      </w:r>
      <w:r w:rsidR="00D936F9" w:rsidRPr="007678FC">
        <w:t>reports</w:t>
      </w:r>
      <w:r w:rsidR="00D64445" w:rsidRPr="007678FC">
        <w:t xml:space="preserve">. </w:t>
      </w:r>
    </w:p>
    <w:p w:rsidR="00DC08EB" w:rsidRPr="007678FC" w:rsidRDefault="00DC08EB" w:rsidP="00DC08EB">
      <w:pPr>
        <w:spacing w:before="100" w:beforeAutospacing="1" w:after="100" w:afterAutospacing="1"/>
      </w:pPr>
      <w:r w:rsidRPr="007678FC">
        <w:t xml:space="preserve">The State will ensure that there is at least one CHT in each of the Blueprint Health Service Areas (HSAs) in Vermont to provide support services for the population of patients receiving their care in Blueprint Advanced Primary Care Practices.  As the Blueprint continues to expand to all willing primary care practices and the number of patients changes, the size of and financial support for the CHT(s) in each HSA will be scaled up or down based on the number of patients in the Blueprint-participating practices that the CHT(s) supports in the HSA.  </w:t>
      </w:r>
    </w:p>
    <w:p w:rsidR="00DC08EB" w:rsidRPr="007678FC" w:rsidRDefault="00DC08EB" w:rsidP="00DC08EB">
      <w:pPr>
        <w:spacing w:before="100" w:beforeAutospacing="1" w:after="100" w:afterAutospacing="1"/>
      </w:pPr>
      <w:r w:rsidRPr="007678FC">
        <w:t>For purposes of the Blu</w:t>
      </w:r>
      <w:r w:rsidR="00EE10DF" w:rsidRPr="007678FC">
        <w:t>e</w:t>
      </w:r>
      <w:r w:rsidRPr="007678FC">
        <w:t xml:space="preserve">print payment specifications, “number of patients” means the number of total unique Vermont patients in Blueprint-participating practices with </w:t>
      </w:r>
      <w:r w:rsidR="000867BE">
        <w:t>a majority of their primary-care</w:t>
      </w:r>
      <w:r w:rsidRPr="007678FC">
        <w:t xml:space="preserve"> </w:t>
      </w:r>
      <w:r w:rsidR="000867BE">
        <w:t>(</w:t>
      </w:r>
      <w:r w:rsidRPr="007678FC">
        <w:t>Evaluation and Management</w:t>
      </w:r>
      <w:r w:rsidR="000867BE">
        <w:t>)</w:t>
      </w:r>
      <w:r w:rsidRPr="007678FC">
        <w:t xml:space="preserve"> claims-coded visits to the practices during the previous 24 months. </w:t>
      </w:r>
      <w:r w:rsidR="007A6A0B" w:rsidRPr="007678FC">
        <w:t>Appendix 2</w:t>
      </w:r>
      <w:r w:rsidRPr="007678FC">
        <w:t xml:space="preserve"> contains the algorithm to be used by Blueprint practices to calculate and report total unique Vermont Blueprint patients, and Appendices</w:t>
      </w:r>
      <w:r w:rsidR="0056266E" w:rsidRPr="007678FC">
        <w:t xml:space="preserve"> 3 and 4</w:t>
      </w:r>
      <w:r w:rsidRPr="007678FC">
        <w:t xml:space="preserve"> contain the algorithm to be used by payers to calculate and report total unique Vermont Blueprint patients.</w:t>
      </w:r>
      <w:r w:rsidR="00AA2801">
        <w:t xml:space="preserve">  </w:t>
      </w:r>
      <w:r w:rsidR="00AA2801">
        <w:rPr>
          <w:rFonts w:eastAsia="Times"/>
        </w:rPr>
        <w:t>Patient attributions for members of Blueprint-participating self-insured plans will be included.</w:t>
      </w:r>
    </w:p>
    <w:p w:rsidR="00615D46" w:rsidRPr="007678FC" w:rsidRDefault="00BF2CEB" w:rsidP="00DC08EB">
      <w:pPr>
        <w:spacing w:before="100" w:beforeAutospacing="1" w:after="100" w:afterAutospacing="1"/>
      </w:pPr>
      <w:r w:rsidRPr="007678FC">
        <w:rPr>
          <w:rFonts w:cs="Arial"/>
        </w:rPr>
        <w:lastRenderedPageBreak/>
        <w:t>CHT payments are scaled based on the population of payer-claims-attributed Blueprint patients per month (PPPM)</w:t>
      </w:r>
      <w:r w:rsidR="005F0859" w:rsidRPr="007678FC">
        <w:rPr>
          <w:rFonts w:cs="Arial"/>
        </w:rPr>
        <w:t>.</w:t>
      </w:r>
      <w:r w:rsidR="00BB5D38" w:rsidRPr="007678FC">
        <w:rPr>
          <w:rStyle w:val="FootnoteReference"/>
          <w:rFonts w:cs="Arial"/>
        </w:rPr>
        <w:footnoteReference w:id="2"/>
      </w:r>
      <w:r w:rsidR="00BB5D38" w:rsidRPr="007678FC">
        <w:rPr>
          <w:rFonts w:cs="Arial"/>
        </w:rPr>
        <w:t xml:space="preserve"> </w:t>
      </w:r>
      <w:r w:rsidR="00BB5D38" w:rsidRPr="007678FC">
        <w:rPr>
          <w:rStyle w:val="FootnoteReference"/>
          <w:rFonts w:cs="Arial"/>
        </w:rPr>
        <w:footnoteReference w:id="3"/>
      </w:r>
      <w:r w:rsidR="001E70D8" w:rsidRPr="007678FC">
        <w:rPr>
          <w:rFonts w:cs="Arial"/>
        </w:rPr>
        <w:t xml:space="preserve">  Commercial and Medicaid payers will pay $2.77 per payer-claims-attributed patient per month (PPPM), and Medicare will pay $2.47 per payer-claims-attributed patient per month (PPPM).</w:t>
      </w:r>
    </w:p>
    <w:p w:rsidR="00DC08EB" w:rsidRPr="007678FC" w:rsidRDefault="00DC08EB" w:rsidP="00DC08EB">
      <w:pPr>
        <w:spacing w:before="100" w:beforeAutospacing="1" w:after="100" w:afterAutospacing="1"/>
      </w:pPr>
      <w:r w:rsidRPr="007678FC">
        <w:t>The payer will make CHT payments monthly or quarterly, as determined by the payer in conjunction with the Blueprint Director, upon receipt of an invoice sent by the CHT administrative entity to the payer (if an invoice is required by the payer) by the 15</w:t>
      </w:r>
      <w:r w:rsidRPr="007678FC">
        <w:rPr>
          <w:vertAlign w:val="superscript"/>
        </w:rPr>
        <w:t>th</w:t>
      </w:r>
      <w:r w:rsidRPr="007678FC">
        <w:t xml:space="preserve"> calendar day of the month or the 15</w:t>
      </w:r>
      <w:r w:rsidRPr="007678FC">
        <w:rPr>
          <w:vertAlign w:val="superscript"/>
        </w:rPr>
        <w:t>th</w:t>
      </w:r>
      <w:r w:rsidRPr="007678FC">
        <w:t xml:space="preserve"> calendar day of each quarter.  Invoices will reflect the administrative entities’ CHT payments as determined by the Blueprint based on the total unique Vermont patients in Blueprint-participating practices</w:t>
      </w:r>
      <w:r w:rsidR="00347534">
        <w:t xml:space="preserve">. </w:t>
      </w:r>
      <w:r w:rsidRPr="007678FC">
        <w:t xml:space="preserve">Changes in the amount of financial support due to scaling up or down of CHT capacity will be made by the Blueprint quarterly, and will be reflected in invoices from the CHT administrative entity (if applicable) and payments from the payer.  </w:t>
      </w:r>
    </w:p>
    <w:p w:rsidR="00DC08EB" w:rsidRPr="007678FC" w:rsidRDefault="00DC08EB" w:rsidP="00DC08EB">
      <w:pPr>
        <w:spacing w:before="100" w:beforeAutospacing="1" w:after="100" w:afterAutospacing="1"/>
      </w:pPr>
      <w:r w:rsidRPr="007678FC">
        <w:t>The Blueprint will provide reports to the payers and to CHT administrative entities reflecting changes in total unique Vermont patients and CHT financial support for each HSA no later than the fifth business day of each calendar quarter.  The information in these reports will be based on total unique Vermont patient data provided by payers to the Blueprint</w:t>
      </w:r>
      <w:r w:rsidR="00537F5E" w:rsidRPr="007678FC">
        <w:t>,</w:t>
      </w:r>
      <w:r w:rsidRPr="007678FC">
        <w:t xml:space="preserve"> based on claims attributions</w:t>
      </w:r>
      <w:r w:rsidR="00536941">
        <w:rPr>
          <w:rStyle w:val="FootnoteReference"/>
        </w:rPr>
        <w:footnoteReference w:id="4"/>
      </w:r>
      <w:r w:rsidRPr="007678FC">
        <w:t>, and validated proportionally by data provided by CHT administrative entities to the Blueprint.  (Total practice-reported patient counts have historically averaged approximately 1.85 times the level of total payer-reported, claims-attributed patie</w:t>
      </w:r>
      <w:r w:rsidR="001831A4" w:rsidRPr="007678FC">
        <w:t>nt counts, based on data from Calendar Years</w:t>
      </w:r>
      <w:r w:rsidRPr="007678FC">
        <w:t xml:space="preserve"> 2013 and 2014.)  The Blueprint will also provide </w:t>
      </w:r>
      <w:r w:rsidR="00537F5E" w:rsidRPr="007678FC">
        <w:t>payers</w:t>
      </w:r>
      <w:r w:rsidRPr="007678FC">
        <w:t xml:space="preserve"> with a monthly </w:t>
      </w:r>
      <w:r w:rsidR="00537F5E" w:rsidRPr="007678FC">
        <w:t xml:space="preserve">practice roster and </w:t>
      </w:r>
      <w:r w:rsidRPr="007678FC">
        <w:t>NCQA scoring schedule</w:t>
      </w:r>
      <w:r w:rsidR="00537F5E" w:rsidRPr="007678FC">
        <w:t>.</w:t>
      </w:r>
    </w:p>
    <w:p w:rsidR="00DC08EB" w:rsidRPr="007678FC" w:rsidRDefault="00DC08EB" w:rsidP="00DC08EB">
      <w:pPr>
        <w:spacing w:before="100" w:beforeAutospacing="1" w:after="100" w:afterAutospacing="1"/>
      </w:pPr>
      <w:r w:rsidRPr="007678FC">
        <w:t xml:space="preserve">Monthly payments related to the initiation of a new CHT will begin on the first day of the month after (or on which) the payer receives information from the Blueprint indicating that practices affiliated with the new CHT have received their </w:t>
      </w:r>
      <w:r w:rsidR="00565E05">
        <w:t>initial qualifying NCQA scores from the Blueprint</w:t>
      </w:r>
      <w:r w:rsidRPr="007678FC">
        <w:t xml:space="preserve"> and/or achieved NCQA PCMH recognition and the CHT begins clinical operations.  As is the case for already-existing CHTs, the amount of financial support for new CHTs will be based on the number of total unique Vermont patients in Blueprint-</w:t>
      </w:r>
      <w:r w:rsidRPr="007678FC">
        <w:lastRenderedPageBreak/>
        <w:t xml:space="preserve">participating practices.  If the payer makes quarterly CHT payments, payment amounts will be pro-rated if a CHT begins clinical operations after the start of the quarter.  </w:t>
      </w:r>
      <w:r w:rsidR="0039736A" w:rsidRPr="007678FC">
        <w:t>Changes in payments related to scaling up or down of CHT capacity will begin on the first day of the quarter after (or on which) there are changes in the number of patients in Blueprint-participating practices.</w:t>
      </w:r>
    </w:p>
    <w:p w:rsidR="00DC08EB" w:rsidRDefault="00DC08EB" w:rsidP="00DC08EB">
      <w:pPr>
        <w:spacing w:after="240"/>
      </w:pPr>
      <w:r w:rsidRPr="007678FC">
        <w:t>CHTs under the same administrative entity within an HSA that are geographically dispersed throughout the HSA or otherwise segmented will be treated as a single CHT for payment purposes, regardless of the CHT’s capacity and the number of patients in Blueprint-participating practices.  If there is more than one administrative entity in the HSA, the CHTs for each administrative entity will be treated as individual CHTs for payment purposes.  In the event that there is more than one administrative entity, each practice in the HSA will be assigned to one CHT and one administrative entity; a practice will not be split among administrative entities and CHTs.</w:t>
      </w:r>
    </w:p>
    <w:p w:rsidR="00A367D7" w:rsidRPr="00EB7399" w:rsidRDefault="00125B3A" w:rsidP="00DC08EB">
      <w:pPr>
        <w:spacing w:after="240"/>
      </w:pPr>
      <w:r w:rsidRPr="009A3EAF">
        <w:rPr>
          <w:u w:val="single"/>
        </w:rPr>
        <w:t xml:space="preserve">Exception for Medicare </w:t>
      </w:r>
      <w:r>
        <w:rPr>
          <w:u w:val="single"/>
        </w:rPr>
        <w:t xml:space="preserve">CHT </w:t>
      </w:r>
      <w:r w:rsidRPr="009A3EAF">
        <w:rPr>
          <w:u w:val="single"/>
        </w:rPr>
        <w:t>payments.</w:t>
      </w:r>
      <w:r>
        <w:t xml:space="preserve">  Medicare Core CHT payments will be fixed at the levels paid prospectively for the 4</w:t>
      </w:r>
      <w:r w:rsidRPr="00125B3A">
        <w:rPr>
          <w:vertAlign w:val="superscript"/>
        </w:rPr>
        <w:t>th</w:t>
      </w:r>
      <w:r>
        <w:t xml:space="preserve"> calendar quarter of 2016 (i.e., at the monthly level</w:t>
      </w:r>
      <w:r w:rsidR="006D33AC">
        <w:t>s</w:t>
      </w:r>
      <w:r>
        <w:t xml:space="preserve"> paid prospectively for December 2016), with the exception (or adjustment) that $2.47 PPPM will additionally be paid to relevant CHTs for new Medicare PCMHs in 2017.  For Calendar Year 2017 payments, Medicare </w:t>
      </w:r>
      <w:r w:rsidR="006D33AC">
        <w:t>SASH</w:t>
      </w:r>
      <w:r>
        <w:t xml:space="preserve"> payments will be fixed at the levels paid prospectively</w:t>
      </w:r>
      <w:r w:rsidR="006D33AC">
        <w:t xml:space="preserve"> to SASH</w:t>
      </w:r>
      <w:r>
        <w:t xml:space="preserve"> for the 4</w:t>
      </w:r>
      <w:r w:rsidRPr="00125B3A">
        <w:rPr>
          <w:vertAlign w:val="superscript"/>
        </w:rPr>
        <w:t>th</w:t>
      </w:r>
      <w:r>
        <w:t xml:space="preserve"> calendar quarter of 2016 (i.e., at the monthly level paid prospectively for December 2016)</w:t>
      </w:r>
      <w:r w:rsidR="006D33AC">
        <w:t>.</w:t>
      </w:r>
    </w:p>
    <w:p w:rsidR="00BA154A" w:rsidRDefault="00B33EF7" w:rsidP="000815EB">
      <w:pPr>
        <w:pStyle w:val="Heading2"/>
      </w:pPr>
      <w:r w:rsidRPr="007678FC">
        <w:br w:type="page"/>
      </w:r>
      <w:bookmarkStart w:id="106" w:name="_Toc521488604"/>
      <w:bookmarkStart w:id="107" w:name="_Toc418618692"/>
      <w:bookmarkStart w:id="108" w:name="_Toc419884060"/>
      <w:bookmarkStart w:id="109" w:name="_Toc419884340"/>
      <w:bookmarkStart w:id="110" w:name="_Toc440036735"/>
      <w:r w:rsidR="00BA154A" w:rsidRPr="007678FC">
        <w:lastRenderedPageBreak/>
        <w:t>NCQA Recognition and PCMH PPPM and CHT Payments</w:t>
      </w:r>
      <w:bookmarkEnd w:id="106"/>
      <w:r w:rsidR="00BA154A" w:rsidRPr="007678FC">
        <w:t xml:space="preserve"> </w:t>
      </w:r>
      <w:bookmarkEnd w:id="107"/>
      <w:bookmarkEnd w:id="108"/>
      <w:bookmarkEnd w:id="109"/>
      <w:bookmarkEnd w:id="110"/>
    </w:p>
    <w:p w:rsidR="0025388C" w:rsidRDefault="0025388C" w:rsidP="0025388C"/>
    <w:p w:rsidR="00750AB2" w:rsidRPr="0025388C" w:rsidRDefault="0025388C" w:rsidP="00750AB2">
      <w:r w:rsidRPr="0025388C">
        <w:t>To be eligible for Blueprint PCMH PMPM and CHT payments practices must achieve and maintain their NCQA Patient Centered Medical Home recognition</w:t>
      </w:r>
      <w:r w:rsidR="00750AB2">
        <w:rPr>
          <w:rFonts w:cs="Arial"/>
        </w:rPr>
        <w:t xml:space="preserve"> under the 2014 standards and/or start the engaging process under the 2017 standards, </w:t>
      </w:r>
      <w:r w:rsidR="00750AB2" w:rsidRPr="0025388C">
        <w:t>and actively participate in a quality projects identified by their local Community Collaboratives.</w:t>
      </w:r>
    </w:p>
    <w:p w:rsidR="00750AB2" w:rsidRPr="007678FC" w:rsidRDefault="00750AB2" w:rsidP="00750AB2">
      <w:pPr>
        <w:rPr>
          <w:rFonts w:cs="Arial"/>
        </w:rPr>
      </w:pPr>
      <w:r>
        <w:rPr>
          <w:rFonts w:cs="Arial"/>
        </w:rPr>
        <w:t>The start of the engaging process is defined by NCQA as the date that a practice submits their initial documentation and payment to NCQA on the Q-Pass portal.</w:t>
      </w:r>
    </w:p>
    <w:p w:rsidR="0025388C" w:rsidRPr="0025388C" w:rsidRDefault="0025388C" w:rsidP="0025388C"/>
    <w:p w:rsidR="00BA154A" w:rsidRPr="0025388C" w:rsidRDefault="00BC5121" w:rsidP="006E05C6">
      <w:pPr>
        <w:pStyle w:val="Heading3"/>
        <w:numPr>
          <w:ilvl w:val="0"/>
          <w:numId w:val="0"/>
        </w:numPr>
      </w:pPr>
      <w:r w:rsidRPr="0025388C">
        <w:t xml:space="preserve"> </w:t>
      </w:r>
    </w:p>
    <w:p w:rsidR="00776A5E" w:rsidRPr="007678FC" w:rsidRDefault="00776A5E" w:rsidP="006E05C6">
      <w:pPr>
        <w:pStyle w:val="Heading3"/>
      </w:pPr>
      <w:bookmarkStart w:id="111" w:name="_Toc419884061"/>
      <w:bookmarkStart w:id="112" w:name="_Toc419884341"/>
      <w:bookmarkStart w:id="113" w:name="_Toc440036736"/>
      <w:bookmarkStart w:id="114" w:name="_Toc521488605"/>
      <w:r w:rsidRPr="007678FC">
        <w:t>Procedure for sustaining NCQA PCMH recognition and PCMH PPPM and CHT payments if current NCQA recognition lapses</w:t>
      </w:r>
      <w:bookmarkEnd w:id="111"/>
      <w:bookmarkEnd w:id="112"/>
      <w:bookmarkEnd w:id="113"/>
      <w:bookmarkEnd w:id="114"/>
    </w:p>
    <w:p w:rsidR="00740360" w:rsidRDefault="00740360" w:rsidP="00740360">
      <w:pPr>
        <w:rPr>
          <w:u w:val="single"/>
        </w:rPr>
      </w:pPr>
    </w:p>
    <w:p w:rsidR="00740360" w:rsidRDefault="00740360" w:rsidP="00740360">
      <w:r>
        <w:t xml:space="preserve">If a practice that is scheduled to be rescored does not achieve NCQA recognition as scheduled (due to either a voluntary, intentional postponement of the scoring date such that NCQA recognition will lapse, or failure to achieve recognition), the practice </w:t>
      </w:r>
      <w:r w:rsidR="001E5864">
        <w:t xml:space="preserve">will develop an action plan with NCQA </w:t>
      </w:r>
      <w:r>
        <w:t>with a clear timeline for achieving subsequent recognition</w:t>
      </w:r>
      <w:r w:rsidR="001E5864">
        <w:t>. The practice will share this action plan with the Blueprint Executive Director,</w:t>
      </w:r>
      <w:r>
        <w:t xml:space="preserve"> if CHT payments are to continue.</w:t>
      </w:r>
      <w:r w:rsidR="00A50D7F">
        <w:t xml:space="preserve"> </w:t>
      </w:r>
    </w:p>
    <w:p w:rsidR="00740360" w:rsidRDefault="00740360" w:rsidP="00740360"/>
    <w:p w:rsidR="00740360" w:rsidRDefault="00740360" w:rsidP="00740360">
      <w:r>
        <w:t>The action plan must have the following 3 components:</w:t>
      </w:r>
    </w:p>
    <w:p w:rsidR="00740360" w:rsidRPr="0025388C" w:rsidRDefault="00740360" w:rsidP="00515635">
      <w:pPr>
        <w:pStyle w:val="ListParagraph"/>
        <w:numPr>
          <w:ilvl w:val="0"/>
          <w:numId w:val="22"/>
        </w:numPr>
      </w:pPr>
      <w:r w:rsidRPr="0025388C">
        <w:t>Identification of the reason(s) for the practice not achieving NCQA PCMH recognition,</w:t>
      </w:r>
    </w:p>
    <w:p w:rsidR="00740360" w:rsidRPr="0025388C" w:rsidRDefault="00740360" w:rsidP="00515635">
      <w:pPr>
        <w:pStyle w:val="ListParagraph"/>
        <w:numPr>
          <w:ilvl w:val="0"/>
          <w:numId w:val="22"/>
        </w:numPr>
      </w:pPr>
      <w:r w:rsidRPr="0025388C">
        <w:t>A clear plan for targeted improvement with identification of parties responsible for the steps to take, and</w:t>
      </w:r>
    </w:p>
    <w:p w:rsidR="00740360" w:rsidRPr="0025388C" w:rsidRDefault="00740360" w:rsidP="00515635">
      <w:pPr>
        <w:pStyle w:val="ListParagraph"/>
        <w:numPr>
          <w:ilvl w:val="0"/>
          <w:numId w:val="22"/>
        </w:numPr>
      </w:pPr>
      <w:r w:rsidRPr="0025388C">
        <w:t xml:space="preserve">A clear timeline for targeted improvement. </w:t>
      </w:r>
    </w:p>
    <w:p w:rsidR="00BE74E6" w:rsidRDefault="00BE74E6" w:rsidP="00EB7399"/>
    <w:p w:rsidR="00BE74E6" w:rsidRDefault="00BE74E6" w:rsidP="00EB7399">
      <w:r>
        <w:t>For practices that have succeeded in obtaining a level 3 under the 2014 standards and are in the annual reporting phase of sustaining recognition with NCQA:</w:t>
      </w:r>
    </w:p>
    <w:p w:rsidR="00BE74E6" w:rsidRDefault="00BE74E6" w:rsidP="00515635">
      <w:pPr>
        <w:pStyle w:val="ListParagraph"/>
        <w:numPr>
          <w:ilvl w:val="0"/>
          <w:numId w:val="29"/>
        </w:numPr>
      </w:pPr>
      <w:r>
        <w:t xml:space="preserve">The action plan will be developed within 30 days of failure to achieve recognition within the 1 month time period set by NCQA, or within 15 days of the decision to postpone the scoring date, such that NCQA recognition will lapse. </w:t>
      </w:r>
    </w:p>
    <w:p w:rsidR="00BE74E6" w:rsidRDefault="00BE74E6" w:rsidP="00EB7399"/>
    <w:p w:rsidR="00BE74E6" w:rsidRDefault="00BE74E6" w:rsidP="00EB7399">
      <w:r>
        <w:t>For practices transforming from a level 1 or level 2 under the 2014 standards:</w:t>
      </w:r>
    </w:p>
    <w:p w:rsidR="00BE74E6" w:rsidRDefault="00BE74E6" w:rsidP="00515635">
      <w:pPr>
        <w:pStyle w:val="ListParagraph"/>
        <w:numPr>
          <w:ilvl w:val="0"/>
          <w:numId w:val="29"/>
        </w:numPr>
      </w:pPr>
      <w:r>
        <w:t xml:space="preserve">The action plan will be developed within 30 days of failure to achieve recognition within the 6 month time period set by NCQA, or within 15 days of the decision to postpone the scoring date, such that NCQA recognition will lapse. </w:t>
      </w:r>
    </w:p>
    <w:p w:rsidR="00BE74E6" w:rsidRDefault="00BE74E6" w:rsidP="00EB7399"/>
    <w:p w:rsidR="00BE74E6" w:rsidRDefault="00BE74E6" w:rsidP="00EB7399"/>
    <w:p w:rsidR="00BE74E6" w:rsidRDefault="00BE74E6" w:rsidP="00740360">
      <w:pPr>
        <w:ind w:left="360"/>
      </w:pPr>
    </w:p>
    <w:p w:rsidR="00740360" w:rsidRDefault="00740360" w:rsidP="00740360"/>
    <w:p w:rsidR="00740360" w:rsidRDefault="00740360" w:rsidP="00740360">
      <w:r>
        <w:lastRenderedPageBreak/>
        <w:t>Regardless of whether an action plan is developed, insurers will terminate PPPM payments on the last day of the month following the date on which NCQA recognition lapses, if the practice does not achieve recognition during that time period.</w:t>
      </w:r>
    </w:p>
    <w:p w:rsidR="00740360" w:rsidRDefault="00740360" w:rsidP="00740360"/>
    <w:p w:rsidR="00740360" w:rsidRDefault="00740360" w:rsidP="00740360">
      <w:r>
        <w:t xml:space="preserve">If an action plan is not developed as stated above, the additional CHT payments related to that practice’s patients will end on the last day of the quarter during which NCQA recognition lapses. </w:t>
      </w:r>
      <w:r w:rsidRPr="00310A7D">
        <w:t xml:space="preserve"> If </w:t>
      </w:r>
      <w:r>
        <w:t>an action plan</w:t>
      </w:r>
      <w:r w:rsidRPr="00310A7D">
        <w:t xml:space="preserve"> is </w:t>
      </w:r>
      <w:r>
        <w:t xml:space="preserve">developed, the additional CHT payments related to that practice’s patients will remain in place for the quarter following the date on which NCQA recognition lapses, and will then decline by 25% for each quarter thereafter, until recognition is achieved (at which time full CHT payments will be restored).  </w:t>
      </w:r>
    </w:p>
    <w:p w:rsidR="00740360" w:rsidRDefault="00740360" w:rsidP="00740360"/>
    <w:p w:rsidR="00BE74E6" w:rsidRDefault="00740360" w:rsidP="00740360">
      <w:r>
        <w:t xml:space="preserve">If </w:t>
      </w:r>
      <w:r w:rsidR="001E5864">
        <w:t>the practice submits additional payment to NCQA for extended time for PCMH recognition</w:t>
      </w:r>
      <w:r>
        <w:t>, insurers will pay (or continue to pay) the practice at the previous PPPM rate based on the most recent successful NCQA score, starting on the date of</w:t>
      </w:r>
      <w:r w:rsidR="001E5864">
        <w:t xml:space="preserve"> the payment to NCQA for extended time for PCMH recognition</w:t>
      </w:r>
      <w:r w:rsidR="00721024">
        <w:t>.</w:t>
      </w:r>
    </w:p>
    <w:p w:rsidR="00BE74E6" w:rsidRDefault="00BE74E6" w:rsidP="00BE74E6"/>
    <w:p w:rsidR="00BE74E6" w:rsidRDefault="00BE74E6" w:rsidP="00BE74E6">
      <w:r>
        <w:t>For practices that have succeeded in obtaining a level 3 under the 2014 standards and are in the annual reporting phase of sustaining recognition with NCQA:</w:t>
      </w:r>
      <w:r w:rsidRPr="00BE74E6">
        <w:t xml:space="preserve"> </w:t>
      </w:r>
    </w:p>
    <w:p w:rsidR="00BE74E6" w:rsidRDefault="00BE74E6" w:rsidP="00515635">
      <w:pPr>
        <w:pStyle w:val="ListParagraph"/>
        <w:numPr>
          <w:ilvl w:val="0"/>
          <w:numId w:val="29"/>
        </w:numPr>
      </w:pPr>
      <w:r>
        <w:t>If the practice does not achieve recognition within the additional 90 day time period for extended recognition set by NCQA, insurers will have the option of recouping the practice’s PPPM payments back to the date on which those payments would have ended (i.e. – the last day of the month following the date on which NCQA recognition lapsed).</w:t>
      </w:r>
    </w:p>
    <w:p w:rsidR="00B75B88" w:rsidRDefault="00B75B88" w:rsidP="00EB7399"/>
    <w:p w:rsidR="00B75B88" w:rsidRDefault="00B75B88" w:rsidP="00EB7399">
      <w:r>
        <w:t>For practices transforming from a level 1 or level 2 under the 2014 standards:</w:t>
      </w:r>
    </w:p>
    <w:p w:rsidR="00B75B88" w:rsidRDefault="00B75B88" w:rsidP="00515635">
      <w:pPr>
        <w:pStyle w:val="ListParagraph"/>
        <w:numPr>
          <w:ilvl w:val="0"/>
          <w:numId w:val="29"/>
        </w:numPr>
      </w:pPr>
      <w:r>
        <w:t>If the practice does not achieve recognition within an additional 3 month time period for extended recognition set by the Blueprint for Health, insurers will have the option of recouping the practice’s PPPM payments back to the date on which those payments would have ended (i.e. – the last day of the month following the date on which NCQA recognition lapsed).</w:t>
      </w:r>
    </w:p>
    <w:p w:rsidR="00BE74E6" w:rsidRDefault="00BE74E6" w:rsidP="00740360"/>
    <w:p w:rsidR="00740360" w:rsidRPr="007678FC" w:rsidRDefault="00740360" w:rsidP="00740360">
      <w:r>
        <w:t xml:space="preserve"> </w:t>
      </w:r>
    </w:p>
    <w:p w:rsidR="00BA154A" w:rsidRPr="007678FC" w:rsidRDefault="00BA154A" w:rsidP="00BA154A"/>
    <w:p w:rsidR="00BA154A" w:rsidRPr="007678FC" w:rsidRDefault="00BA154A" w:rsidP="006E05C6">
      <w:pPr>
        <w:pStyle w:val="Heading3"/>
      </w:pPr>
      <w:bookmarkStart w:id="115" w:name="_Toc418618694"/>
      <w:bookmarkStart w:id="116" w:name="_Toc419884062"/>
      <w:bookmarkStart w:id="117" w:name="_Toc419884342"/>
      <w:bookmarkStart w:id="118" w:name="_Toc440036737"/>
      <w:bookmarkStart w:id="119" w:name="_Toc521488606"/>
      <w:r w:rsidRPr="007678FC">
        <w:t xml:space="preserve">Procedure for reducing </w:t>
      </w:r>
      <w:r w:rsidR="00D55B67">
        <w:t xml:space="preserve">PCMH PPPM and </w:t>
      </w:r>
      <w:r w:rsidRPr="007678FC">
        <w:t xml:space="preserve">CHT payments for </w:t>
      </w:r>
      <w:r w:rsidR="0009629B">
        <w:t>Blueprint</w:t>
      </w:r>
      <w:r w:rsidR="0009629B" w:rsidRPr="007678FC">
        <w:t xml:space="preserve"> </w:t>
      </w:r>
      <w:r w:rsidRPr="007678FC">
        <w:t>practices if initial NCQA recognition is not attained</w:t>
      </w:r>
      <w:bookmarkEnd w:id="115"/>
      <w:bookmarkEnd w:id="116"/>
      <w:bookmarkEnd w:id="117"/>
      <w:bookmarkEnd w:id="118"/>
      <w:bookmarkEnd w:id="119"/>
      <w:r w:rsidRPr="007678FC">
        <w:t xml:space="preserve">  </w:t>
      </w:r>
    </w:p>
    <w:p w:rsidR="00BA154A" w:rsidRDefault="00BA154A" w:rsidP="00EB7399">
      <w:r w:rsidRPr="007678FC">
        <w:t xml:space="preserve">Regarding CHT funding for </w:t>
      </w:r>
      <w:r w:rsidR="0009629B">
        <w:t xml:space="preserve">Blueprint </w:t>
      </w:r>
      <w:r w:rsidRPr="007678FC">
        <w:t xml:space="preserve">practices </w:t>
      </w:r>
      <w:r w:rsidR="0009629B">
        <w:t>in the engagement phase</w:t>
      </w:r>
      <w:r w:rsidRPr="007678FC">
        <w:t>, if a</w:t>
      </w:r>
      <w:r w:rsidR="0009629B">
        <w:t>n engaging Blueprint</w:t>
      </w:r>
      <w:r w:rsidRPr="007678FC">
        <w:t xml:space="preserve"> practice does not achieve NCQA recognition as scheduled (due to either a postponement of the scoring date or failure to achieve recognition), the practice </w:t>
      </w:r>
      <w:r w:rsidR="00E72FFF">
        <w:t>develop an action plan with NCQA</w:t>
      </w:r>
      <w:r w:rsidRPr="007678FC">
        <w:t xml:space="preserve"> as described above.</w:t>
      </w:r>
      <w:r w:rsidR="00E72FFF">
        <w:t xml:space="preserve"> The practice will share this action plan with the Blueprint Executive Director, if CHT payments are to continue. </w:t>
      </w:r>
    </w:p>
    <w:p w:rsidR="00E72FFF" w:rsidRPr="007678FC" w:rsidRDefault="00E72FFF" w:rsidP="00EB7399"/>
    <w:p w:rsidR="00427C03" w:rsidRDefault="00BA154A" w:rsidP="00310A7D">
      <w:pPr>
        <w:spacing w:before="100" w:beforeAutospacing="1" w:after="100" w:afterAutospacing="1"/>
      </w:pPr>
      <w:r w:rsidRPr="007678FC">
        <w:t xml:space="preserve">The action plan will be developed within </w:t>
      </w:r>
      <w:r w:rsidR="00E72FFF">
        <w:t xml:space="preserve">failure to achieve recognition within the 12 month time period set by NCQA, or within 15 days of the decision to postpone the scoring date. </w:t>
      </w:r>
      <w:r w:rsidRPr="007678FC">
        <w:t xml:space="preserve">If </w:t>
      </w:r>
      <w:r w:rsidRPr="007678FC">
        <w:lastRenderedPageBreak/>
        <w:t>it is not developed within the applicable time frame, CHT payments for that practice’s patients will end on the last day of the quarter in which the applicable time frame ends.  If an action plan is developed, the additional CHT payments related to that practice’s patients will decline by 25% for each quarter after the quarter in which the applicable time frame ends, until recognition is achieved.</w:t>
      </w:r>
    </w:p>
    <w:p w:rsidR="00D55B67" w:rsidRDefault="00D55B67" w:rsidP="00D55B67">
      <w:r>
        <w:t xml:space="preserve">Regardless of whether an action plan is developed, insurers will terminate PPPM payments on the last day of the month following the date on which </w:t>
      </w:r>
      <w:r w:rsidR="00A50786">
        <w:t>the practice failed to achieve NCQA recognition within the 12 month time period for recognition set by NCQA.</w:t>
      </w:r>
    </w:p>
    <w:p w:rsidR="00D55B67" w:rsidRDefault="00D55B67" w:rsidP="00D55B67"/>
    <w:p w:rsidR="00A50786" w:rsidRPr="007678FC" w:rsidRDefault="00A50786" w:rsidP="00A50786">
      <w:r>
        <w:t xml:space="preserve">If the practice submits additional payment to NCQA for extended time for PCMH recognition, insurers will pay (or continue to pay) the practice at the previous PPPM rate based on the most recent successful NCQA score, starting on the date of the payment to NCQA for extended time for PCMH recognition. If the practice does not achieve recognition within the additional </w:t>
      </w:r>
      <w:r w:rsidR="00E72FFF">
        <w:t>3</w:t>
      </w:r>
      <w:r>
        <w:t xml:space="preserve"> month time period for extended recognition set by </w:t>
      </w:r>
      <w:r w:rsidR="00E72FFF">
        <w:t>the Blueprint for Health</w:t>
      </w:r>
      <w:r>
        <w:t>, insurers will have the option of recouping the practice’s PPPM payments back to the date on which those payments would have ended (i.e. – last day of the month following the date on which the practice failed to achieve NCQA recognition within the 12 month time period for recognition set by NCQA.</w:t>
      </w:r>
    </w:p>
    <w:p w:rsidR="00D55B67" w:rsidRDefault="00D55B67" w:rsidP="00310A7D">
      <w:pPr>
        <w:spacing w:before="100" w:beforeAutospacing="1" w:after="100" w:afterAutospacing="1"/>
      </w:pPr>
    </w:p>
    <w:p w:rsidR="001827AF" w:rsidRPr="00F704B5" w:rsidRDefault="001827AF" w:rsidP="006E05C6">
      <w:pPr>
        <w:pStyle w:val="Heading1"/>
      </w:pPr>
      <w:bookmarkStart w:id="120" w:name="_Toc521488607"/>
      <w:r w:rsidRPr="00F704B5">
        <w:t>Women’s Health Initiative</w:t>
      </w:r>
      <w:bookmarkEnd w:id="120"/>
    </w:p>
    <w:p w:rsidR="001827AF" w:rsidRPr="00F704B5" w:rsidRDefault="001827AF" w:rsidP="001827AF">
      <w:pPr>
        <w:rPr>
          <w:rFonts w:asciiTheme="majorHAnsi" w:hAnsiTheme="majorHAnsi"/>
        </w:rPr>
      </w:pPr>
      <w:r w:rsidRPr="00F704B5">
        <w:rPr>
          <w:rFonts w:asciiTheme="majorHAnsi" w:hAnsiTheme="majorHAnsi"/>
        </w:rPr>
        <w:t xml:space="preserve">The Women’s Health Initiative (WHI) extends the Vermont Blueprint for Health to </w:t>
      </w:r>
      <w:r>
        <w:rPr>
          <w:rFonts w:asciiTheme="majorHAnsi" w:hAnsiTheme="majorHAnsi"/>
        </w:rPr>
        <w:t>obstetrics</w:t>
      </w:r>
      <w:r w:rsidRPr="00F704B5">
        <w:rPr>
          <w:rFonts w:asciiTheme="majorHAnsi" w:hAnsiTheme="majorHAnsi"/>
        </w:rPr>
        <w:t xml:space="preserve">, gynecology, family planning and nurse midwifery practices.  </w:t>
      </w:r>
      <w:r>
        <w:rPr>
          <w:rFonts w:asciiTheme="majorHAnsi" w:hAnsiTheme="majorHAnsi"/>
        </w:rPr>
        <w:t>Because many</w:t>
      </w:r>
      <w:r w:rsidRPr="00F704B5">
        <w:rPr>
          <w:rFonts w:asciiTheme="majorHAnsi" w:hAnsiTheme="majorHAnsi"/>
        </w:rPr>
        <w:t xml:space="preserve"> women receive </w:t>
      </w:r>
      <w:r>
        <w:rPr>
          <w:rFonts w:asciiTheme="majorHAnsi" w:hAnsiTheme="majorHAnsi"/>
        </w:rPr>
        <w:t xml:space="preserve">substantial preventive care services </w:t>
      </w:r>
      <w:r w:rsidRPr="00F704B5">
        <w:rPr>
          <w:rFonts w:asciiTheme="majorHAnsi" w:hAnsiTheme="majorHAnsi"/>
        </w:rPr>
        <w:t>in these practices</w:t>
      </w:r>
      <w:r>
        <w:rPr>
          <w:rFonts w:asciiTheme="majorHAnsi" w:hAnsiTheme="majorHAnsi"/>
        </w:rPr>
        <w:t>, there is an opportunity to increase access to additional services to improve health outcomes for women and children, as well the potential to reduce unintended pregnancies</w:t>
      </w:r>
      <w:r w:rsidRPr="00F704B5">
        <w:rPr>
          <w:rFonts w:asciiTheme="majorHAnsi" w:hAnsiTheme="majorHAnsi"/>
        </w:rPr>
        <w:t xml:space="preserve">.  </w:t>
      </w:r>
      <w:r>
        <w:rPr>
          <w:rFonts w:asciiTheme="majorHAnsi" w:hAnsiTheme="majorHAnsi"/>
        </w:rPr>
        <w:t>The</w:t>
      </w:r>
      <w:r w:rsidRPr="00F704B5">
        <w:rPr>
          <w:rFonts w:asciiTheme="majorHAnsi" w:hAnsiTheme="majorHAnsi"/>
        </w:rPr>
        <w:t xml:space="preserve"> WHI promotes psychosocial screening, </w:t>
      </w:r>
      <w:r>
        <w:rPr>
          <w:rFonts w:asciiTheme="majorHAnsi" w:hAnsiTheme="majorHAnsi"/>
        </w:rPr>
        <w:t>supports brief in-office intervention, connects patients with community supports,</w:t>
      </w:r>
      <w:r w:rsidRPr="00F704B5">
        <w:rPr>
          <w:rFonts w:asciiTheme="majorHAnsi" w:hAnsiTheme="majorHAnsi"/>
        </w:rPr>
        <w:t xml:space="preserve"> and offers enhanced payment</w:t>
      </w:r>
      <w:r>
        <w:rPr>
          <w:rFonts w:asciiTheme="majorHAnsi" w:hAnsiTheme="majorHAnsi"/>
        </w:rPr>
        <w:t>s</w:t>
      </w:r>
      <w:r w:rsidRPr="00F704B5">
        <w:rPr>
          <w:rFonts w:asciiTheme="majorHAnsi" w:hAnsiTheme="majorHAnsi"/>
        </w:rPr>
        <w:t xml:space="preserve"> to participating practices in an effort </w:t>
      </w:r>
      <w:r>
        <w:rPr>
          <w:rFonts w:asciiTheme="majorHAnsi" w:hAnsiTheme="majorHAnsi"/>
        </w:rPr>
        <w:t>to achieve these goals</w:t>
      </w:r>
      <w:r w:rsidRPr="00F704B5">
        <w:rPr>
          <w:rFonts w:asciiTheme="majorHAnsi" w:hAnsiTheme="majorHAnsi"/>
        </w:rPr>
        <w:t xml:space="preserve">. The WHI section of the Blueprint Implementation Manual outlines who is eligible to participate (section </w:t>
      </w:r>
      <w:r w:rsidRPr="00F704B5">
        <w:rPr>
          <w:rFonts w:asciiTheme="majorHAnsi" w:hAnsiTheme="majorHAnsi"/>
        </w:rPr>
        <w:fldChar w:fldCharType="begin"/>
      </w:r>
      <w:r w:rsidRPr="00F704B5">
        <w:rPr>
          <w:rFonts w:asciiTheme="majorHAnsi" w:hAnsiTheme="majorHAnsi"/>
        </w:rPr>
        <w:instrText xml:space="preserve"> REF _Ref479014270 \r \h </w:instrText>
      </w:r>
      <w:r w:rsidRPr="00F704B5">
        <w:rPr>
          <w:rFonts w:asciiTheme="majorHAnsi" w:hAnsiTheme="majorHAnsi"/>
        </w:rPr>
      </w:r>
      <w:r w:rsidRPr="00F704B5">
        <w:rPr>
          <w:rFonts w:asciiTheme="majorHAnsi" w:hAnsiTheme="majorHAnsi"/>
        </w:rPr>
        <w:fldChar w:fldCharType="separate"/>
      </w:r>
      <w:r w:rsidR="00143985">
        <w:rPr>
          <w:rFonts w:asciiTheme="majorHAnsi" w:hAnsiTheme="majorHAnsi"/>
        </w:rPr>
        <w:t>6.1</w:t>
      </w:r>
      <w:r w:rsidRPr="00F704B5">
        <w:rPr>
          <w:rFonts w:asciiTheme="majorHAnsi" w:hAnsiTheme="majorHAnsi"/>
        </w:rPr>
        <w:fldChar w:fldCharType="end"/>
      </w:r>
      <w:r w:rsidRPr="00F704B5">
        <w:rPr>
          <w:rFonts w:asciiTheme="majorHAnsi" w:hAnsiTheme="majorHAnsi"/>
        </w:rPr>
        <w:t xml:space="preserve">), the strategies that will be implemented (section </w:t>
      </w:r>
      <w:r w:rsidRPr="00F704B5">
        <w:rPr>
          <w:rFonts w:asciiTheme="majorHAnsi" w:hAnsiTheme="majorHAnsi"/>
        </w:rPr>
        <w:fldChar w:fldCharType="begin"/>
      </w:r>
      <w:r w:rsidRPr="00F704B5">
        <w:rPr>
          <w:rFonts w:asciiTheme="majorHAnsi" w:hAnsiTheme="majorHAnsi"/>
        </w:rPr>
        <w:instrText xml:space="preserve"> REF _Ref479012870 \r \h </w:instrText>
      </w:r>
      <w:r w:rsidRPr="00F704B5">
        <w:rPr>
          <w:rFonts w:asciiTheme="majorHAnsi" w:hAnsiTheme="majorHAnsi"/>
        </w:rPr>
      </w:r>
      <w:r w:rsidRPr="00F704B5">
        <w:rPr>
          <w:rFonts w:asciiTheme="majorHAnsi" w:hAnsiTheme="majorHAnsi"/>
        </w:rPr>
        <w:fldChar w:fldCharType="separate"/>
      </w:r>
      <w:r w:rsidR="00143985">
        <w:rPr>
          <w:rFonts w:asciiTheme="majorHAnsi" w:hAnsiTheme="majorHAnsi"/>
        </w:rPr>
        <w:t>6.2</w:t>
      </w:r>
      <w:r w:rsidRPr="00F704B5">
        <w:rPr>
          <w:rFonts w:asciiTheme="majorHAnsi" w:hAnsiTheme="majorHAnsi"/>
        </w:rPr>
        <w:fldChar w:fldCharType="end"/>
      </w:r>
      <w:r w:rsidRPr="00F704B5">
        <w:rPr>
          <w:rFonts w:asciiTheme="majorHAnsi" w:hAnsiTheme="majorHAnsi"/>
        </w:rPr>
        <w:t>), payment processes (</w:t>
      </w:r>
      <w:r w:rsidRPr="00F704B5">
        <w:rPr>
          <w:rFonts w:asciiTheme="majorHAnsi" w:hAnsiTheme="majorHAnsi"/>
        </w:rPr>
        <w:fldChar w:fldCharType="begin"/>
      </w:r>
      <w:r w:rsidRPr="00F704B5">
        <w:rPr>
          <w:rFonts w:asciiTheme="majorHAnsi" w:hAnsiTheme="majorHAnsi"/>
        </w:rPr>
        <w:instrText xml:space="preserve"> REF _Ref479012896 \r \h </w:instrText>
      </w:r>
      <w:r w:rsidRPr="00F704B5">
        <w:rPr>
          <w:rFonts w:asciiTheme="majorHAnsi" w:hAnsiTheme="majorHAnsi"/>
        </w:rPr>
      </w:r>
      <w:r w:rsidRPr="00F704B5">
        <w:rPr>
          <w:rFonts w:asciiTheme="majorHAnsi" w:hAnsiTheme="majorHAnsi"/>
        </w:rPr>
        <w:fldChar w:fldCharType="separate"/>
      </w:r>
      <w:r w:rsidR="00143985">
        <w:rPr>
          <w:rFonts w:asciiTheme="majorHAnsi" w:hAnsiTheme="majorHAnsi"/>
        </w:rPr>
        <w:t>6.3</w:t>
      </w:r>
      <w:r w:rsidRPr="00F704B5">
        <w:rPr>
          <w:rFonts w:asciiTheme="majorHAnsi" w:hAnsiTheme="majorHAnsi"/>
        </w:rPr>
        <w:fldChar w:fldCharType="end"/>
      </w:r>
      <w:r w:rsidRPr="00F704B5">
        <w:rPr>
          <w:rFonts w:asciiTheme="majorHAnsi" w:hAnsiTheme="majorHAnsi"/>
        </w:rPr>
        <w:t xml:space="preserve">), how payments are sustained (section </w:t>
      </w:r>
      <w:r w:rsidRPr="00F704B5">
        <w:rPr>
          <w:rFonts w:asciiTheme="majorHAnsi" w:hAnsiTheme="majorHAnsi"/>
        </w:rPr>
        <w:fldChar w:fldCharType="begin"/>
      </w:r>
      <w:r w:rsidRPr="00F704B5">
        <w:rPr>
          <w:rFonts w:asciiTheme="majorHAnsi" w:hAnsiTheme="majorHAnsi"/>
        </w:rPr>
        <w:instrText xml:space="preserve"> REF _Ref479014352 \r \h </w:instrText>
      </w:r>
      <w:r w:rsidRPr="00F704B5">
        <w:rPr>
          <w:rFonts w:asciiTheme="majorHAnsi" w:hAnsiTheme="majorHAnsi"/>
        </w:rPr>
      </w:r>
      <w:r w:rsidRPr="00F704B5">
        <w:rPr>
          <w:rFonts w:asciiTheme="majorHAnsi" w:hAnsiTheme="majorHAnsi"/>
        </w:rPr>
        <w:fldChar w:fldCharType="separate"/>
      </w:r>
      <w:r w:rsidR="00143985">
        <w:rPr>
          <w:rFonts w:asciiTheme="majorHAnsi" w:hAnsiTheme="majorHAnsi"/>
        </w:rPr>
        <w:t>6.4</w:t>
      </w:r>
      <w:r w:rsidRPr="00F704B5">
        <w:rPr>
          <w:rFonts w:asciiTheme="majorHAnsi" w:hAnsiTheme="majorHAnsi"/>
        </w:rPr>
        <w:fldChar w:fldCharType="end"/>
      </w:r>
      <w:r w:rsidRPr="00F704B5">
        <w:rPr>
          <w:rFonts w:asciiTheme="majorHAnsi" w:hAnsiTheme="majorHAnsi"/>
        </w:rPr>
        <w:t xml:space="preserve">), and the level of participation of </w:t>
      </w:r>
      <w:r>
        <w:rPr>
          <w:rFonts w:asciiTheme="majorHAnsi" w:hAnsiTheme="majorHAnsi"/>
        </w:rPr>
        <w:t>Blueprint participating patient centered medical homes (PCMHs)</w:t>
      </w:r>
      <w:r w:rsidRPr="00F704B5">
        <w:rPr>
          <w:rFonts w:asciiTheme="majorHAnsi" w:hAnsiTheme="majorHAnsi"/>
        </w:rPr>
        <w:t xml:space="preserve"> (</w:t>
      </w:r>
      <w:r w:rsidRPr="00F704B5">
        <w:rPr>
          <w:rFonts w:asciiTheme="majorHAnsi" w:hAnsiTheme="majorHAnsi"/>
        </w:rPr>
        <w:fldChar w:fldCharType="begin"/>
      </w:r>
      <w:r w:rsidRPr="00F704B5">
        <w:rPr>
          <w:rFonts w:asciiTheme="majorHAnsi" w:hAnsiTheme="majorHAnsi"/>
        </w:rPr>
        <w:instrText xml:space="preserve"> REF _Ref479014368 \r \h </w:instrText>
      </w:r>
      <w:r w:rsidRPr="00F704B5">
        <w:rPr>
          <w:rFonts w:asciiTheme="majorHAnsi" w:hAnsiTheme="majorHAnsi"/>
        </w:rPr>
      </w:r>
      <w:r w:rsidRPr="00F704B5">
        <w:rPr>
          <w:rFonts w:asciiTheme="majorHAnsi" w:hAnsiTheme="majorHAnsi"/>
        </w:rPr>
        <w:fldChar w:fldCharType="separate"/>
      </w:r>
      <w:r w:rsidR="00143985">
        <w:rPr>
          <w:rFonts w:asciiTheme="majorHAnsi" w:hAnsiTheme="majorHAnsi"/>
        </w:rPr>
        <w:t>6.5</w:t>
      </w:r>
      <w:r w:rsidRPr="00F704B5">
        <w:rPr>
          <w:rFonts w:asciiTheme="majorHAnsi" w:hAnsiTheme="majorHAnsi"/>
        </w:rPr>
        <w:fldChar w:fldCharType="end"/>
      </w:r>
      <w:r w:rsidRPr="00F704B5">
        <w:rPr>
          <w:rFonts w:asciiTheme="majorHAnsi" w:hAnsiTheme="majorHAnsi"/>
        </w:rPr>
        <w:t xml:space="preserve">). </w:t>
      </w:r>
    </w:p>
    <w:p w:rsidR="001827AF" w:rsidRPr="00F704B5" w:rsidRDefault="001827AF" w:rsidP="001827AF">
      <w:pPr>
        <w:rPr>
          <w:rFonts w:asciiTheme="majorHAnsi" w:hAnsiTheme="majorHAnsi"/>
        </w:rPr>
      </w:pPr>
    </w:p>
    <w:p w:rsidR="001827AF" w:rsidRPr="00F704B5" w:rsidRDefault="001827AF" w:rsidP="000815EB">
      <w:pPr>
        <w:pStyle w:val="Heading2"/>
      </w:pPr>
      <w:bookmarkStart w:id="121" w:name="_Ref479014270"/>
      <w:bookmarkStart w:id="122" w:name="_Toc521488608"/>
      <w:r w:rsidRPr="00F704B5">
        <w:t>Women’s Health Initiative Practices</w:t>
      </w:r>
      <w:bookmarkEnd w:id="121"/>
      <w:bookmarkEnd w:id="122"/>
    </w:p>
    <w:p w:rsidR="001827AF" w:rsidRPr="00F704B5" w:rsidRDefault="001827AF" w:rsidP="001827AF">
      <w:pPr>
        <w:rPr>
          <w:rFonts w:asciiTheme="majorHAnsi" w:hAnsiTheme="majorHAnsi" w:cs="Arial"/>
        </w:rPr>
      </w:pPr>
      <w:r>
        <w:rPr>
          <w:rFonts w:asciiTheme="majorHAnsi" w:hAnsiTheme="majorHAnsi" w:cs="Arial"/>
        </w:rPr>
        <w:t xml:space="preserve">Women’s Health Initiative (WHI) practices </w:t>
      </w:r>
      <w:r w:rsidRPr="00F704B5">
        <w:rPr>
          <w:rFonts w:asciiTheme="majorHAnsi" w:hAnsiTheme="majorHAnsi" w:cs="Arial"/>
        </w:rPr>
        <w:t xml:space="preserve">attest </w:t>
      </w:r>
      <w:r>
        <w:rPr>
          <w:rFonts w:asciiTheme="majorHAnsi" w:hAnsiTheme="majorHAnsi" w:cs="Arial"/>
        </w:rPr>
        <w:t>to</w:t>
      </w:r>
      <w:r w:rsidRPr="00F704B5">
        <w:rPr>
          <w:rFonts w:asciiTheme="majorHAnsi" w:hAnsiTheme="majorHAnsi" w:cs="Arial"/>
        </w:rPr>
        <w:t xml:space="preserve"> implement</w:t>
      </w:r>
      <w:r>
        <w:rPr>
          <w:rFonts w:asciiTheme="majorHAnsi" w:hAnsiTheme="majorHAnsi" w:cs="Arial"/>
        </w:rPr>
        <w:t>ing</w:t>
      </w:r>
      <w:r w:rsidRPr="00F704B5">
        <w:rPr>
          <w:rFonts w:asciiTheme="majorHAnsi" w:hAnsiTheme="majorHAnsi" w:cs="Arial"/>
        </w:rPr>
        <w:t xml:space="preserve"> and maintain</w:t>
      </w:r>
      <w:r>
        <w:rPr>
          <w:rFonts w:asciiTheme="majorHAnsi" w:hAnsiTheme="majorHAnsi" w:cs="Arial"/>
        </w:rPr>
        <w:t>ing</w:t>
      </w:r>
      <w:r w:rsidRPr="00F704B5">
        <w:rPr>
          <w:rFonts w:asciiTheme="majorHAnsi" w:hAnsiTheme="majorHAnsi" w:cs="Arial"/>
        </w:rPr>
        <w:t xml:space="preserve"> the WHI strategies (section </w:t>
      </w:r>
      <w:r w:rsidRPr="00F704B5">
        <w:rPr>
          <w:rFonts w:asciiTheme="majorHAnsi" w:hAnsiTheme="majorHAnsi" w:cs="Arial"/>
        </w:rPr>
        <w:fldChar w:fldCharType="begin"/>
      </w:r>
      <w:r w:rsidRPr="00F704B5">
        <w:rPr>
          <w:rFonts w:asciiTheme="majorHAnsi" w:hAnsiTheme="majorHAnsi" w:cs="Arial"/>
        </w:rPr>
        <w:instrText xml:space="preserve"> REF _Ref479012870 \r \h </w:instrText>
      </w:r>
      <w:r w:rsidRPr="00F704B5">
        <w:rPr>
          <w:rFonts w:asciiTheme="majorHAnsi" w:hAnsiTheme="majorHAnsi" w:cs="Arial"/>
        </w:rPr>
      </w:r>
      <w:r w:rsidRPr="00F704B5">
        <w:rPr>
          <w:rFonts w:asciiTheme="majorHAnsi" w:hAnsiTheme="majorHAnsi" w:cs="Arial"/>
        </w:rPr>
        <w:fldChar w:fldCharType="separate"/>
      </w:r>
      <w:r w:rsidR="00143985">
        <w:rPr>
          <w:rFonts w:asciiTheme="majorHAnsi" w:hAnsiTheme="majorHAnsi" w:cs="Arial"/>
        </w:rPr>
        <w:t>6.2</w:t>
      </w:r>
      <w:r w:rsidRPr="00F704B5">
        <w:rPr>
          <w:rFonts w:asciiTheme="majorHAnsi" w:hAnsiTheme="majorHAnsi" w:cs="Arial"/>
        </w:rPr>
        <w:fldChar w:fldCharType="end"/>
      </w:r>
      <w:r w:rsidRPr="00F704B5">
        <w:rPr>
          <w:rFonts w:asciiTheme="majorHAnsi" w:hAnsiTheme="majorHAnsi" w:cs="Arial"/>
        </w:rPr>
        <w:t xml:space="preserve">) and </w:t>
      </w:r>
      <w:r>
        <w:rPr>
          <w:rFonts w:asciiTheme="majorHAnsi" w:hAnsiTheme="majorHAnsi" w:cs="Arial"/>
        </w:rPr>
        <w:t>receives</w:t>
      </w:r>
      <w:r w:rsidRPr="00F704B5">
        <w:rPr>
          <w:rFonts w:asciiTheme="majorHAnsi" w:hAnsiTheme="majorHAnsi" w:cs="Arial"/>
        </w:rPr>
        <w:t xml:space="preserve"> WHI payments (section </w:t>
      </w:r>
      <w:r w:rsidRPr="00F704B5">
        <w:rPr>
          <w:rFonts w:asciiTheme="majorHAnsi" w:hAnsiTheme="majorHAnsi" w:cs="Arial"/>
        </w:rPr>
        <w:fldChar w:fldCharType="begin"/>
      </w:r>
      <w:r w:rsidRPr="00F704B5">
        <w:rPr>
          <w:rFonts w:asciiTheme="majorHAnsi" w:hAnsiTheme="majorHAnsi" w:cs="Arial"/>
        </w:rPr>
        <w:instrText xml:space="preserve"> REF _Ref479012896 \r \h </w:instrText>
      </w:r>
      <w:r w:rsidRPr="00F704B5">
        <w:rPr>
          <w:rFonts w:asciiTheme="majorHAnsi" w:hAnsiTheme="majorHAnsi" w:cs="Arial"/>
        </w:rPr>
      </w:r>
      <w:r w:rsidRPr="00F704B5">
        <w:rPr>
          <w:rFonts w:asciiTheme="majorHAnsi" w:hAnsiTheme="majorHAnsi" w:cs="Arial"/>
        </w:rPr>
        <w:fldChar w:fldCharType="separate"/>
      </w:r>
      <w:r w:rsidR="00143985">
        <w:rPr>
          <w:rFonts w:asciiTheme="majorHAnsi" w:hAnsiTheme="majorHAnsi" w:cs="Arial"/>
        </w:rPr>
        <w:t>6.3</w:t>
      </w:r>
      <w:r w:rsidRPr="00F704B5">
        <w:rPr>
          <w:rFonts w:asciiTheme="majorHAnsi" w:hAnsiTheme="majorHAnsi" w:cs="Arial"/>
        </w:rPr>
        <w:fldChar w:fldCharType="end"/>
      </w:r>
      <w:r w:rsidRPr="00F704B5">
        <w:rPr>
          <w:rFonts w:asciiTheme="majorHAnsi" w:hAnsiTheme="majorHAnsi" w:cs="Arial"/>
        </w:rPr>
        <w:t xml:space="preserve">). </w:t>
      </w:r>
      <w:r>
        <w:rPr>
          <w:rFonts w:asciiTheme="majorHAnsi" w:hAnsiTheme="majorHAnsi" w:cs="Arial"/>
        </w:rPr>
        <w:t xml:space="preserve">Eligible medical practices or clinics </w:t>
      </w:r>
      <w:r w:rsidRPr="00F704B5">
        <w:rPr>
          <w:rFonts w:asciiTheme="majorHAnsi" w:hAnsiTheme="majorHAnsi" w:cs="Arial"/>
        </w:rPr>
        <w:t>include</w:t>
      </w:r>
      <w:r w:rsidRPr="00F704B5">
        <w:rPr>
          <w:rFonts w:asciiTheme="majorHAnsi" w:hAnsiTheme="majorHAnsi"/>
        </w:rPr>
        <w:t>:</w:t>
      </w:r>
    </w:p>
    <w:p w:rsidR="001827AF" w:rsidRPr="00F704B5" w:rsidRDefault="001827AF" w:rsidP="00515635">
      <w:pPr>
        <w:pStyle w:val="ListParagraph"/>
        <w:numPr>
          <w:ilvl w:val="0"/>
          <w:numId w:val="23"/>
        </w:numPr>
        <w:rPr>
          <w:rFonts w:asciiTheme="majorHAnsi" w:hAnsiTheme="majorHAnsi"/>
        </w:rPr>
      </w:pPr>
      <w:r w:rsidRPr="00F704B5">
        <w:rPr>
          <w:rFonts w:asciiTheme="majorHAnsi" w:hAnsiTheme="majorHAnsi"/>
        </w:rPr>
        <w:t>gynecology, maternal-fetal medicine, obstetric, reproductive health, or family planning medical practice</w:t>
      </w:r>
      <w:r>
        <w:rPr>
          <w:rFonts w:asciiTheme="majorHAnsi" w:hAnsiTheme="majorHAnsi"/>
        </w:rPr>
        <w:t>s</w:t>
      </w:r>
      <w:r w:rsidRPr="00F704B5">
        <w:rPr>
          <w:rFonts w:asciiTheme="majorHAnsi" w:hAnsiTheme="majorHAnsi"/>
        </w:rPr>
        <w:t xml:space="preserve">, specializing in providing </w:t>
      </w:r>
      <w:hyperlink r:id="rId26" w:history="1">
        <w:r w:rsidRPr="00FC2E68">
          <w:rPr>
            <w:rStyle w:val="Hyperlink"/>
            <w:rFonts w:asciiTheme="majorHAnsi" w:hAnsiTheme="majorHAnsi"/>
            <w:color w:val="auto"/>
            <w:u w:val="none"/>
          </w:rPr>
          <w:t>women’s health preventive services as defined by the American Congress of Obstetricians and Gynecologists (ACOG)</w:t>
        </w:r>
      </w:hyperlink>
      <w:r w:rsidRPr="00923916">
        <w:rPr>
          <w:rFonts w:asciiTheme="majorHAnsi" w:hAnsiTheme="majorHAnsi"/>
        </w:rPr>
        <w:t>;</w:t>
      </w:r>
      <w:r w:rsidRPr="00F704B5">
        <w:rPr>
          <w:rFonts w:asciiTheme="majorHAnsi" w:hAnsiTheme="majorHAnsi"/>
        </w:rPr>
        <w:t xml:space="preserve"> OR </w:t>
      </w:r>
    </w:p>
    <w:p w:rsidR="001827AF" w:rsidRPr="00F704B5" w:rsidRDefault="001827AF" w:rsidP="00515635">
      <w:pPr>
        <w:pStyle w:val="ListParagraph"/>
        <w:numPr>
          <w:ilvl w:val="0"/>
          <w:numId w:val="23"/>
        </w:numPr>
        <w:rPr>
          <w:rFonts w:asciiTheme="majorHAnsi" w:hAnsiTheme="majorHAnsi"/>
        </w:rPr>
      </w:pPr>
      <w:r w:rsidRPr="00F704B5">
        <w:rPr>
          <w:rFonts w:asciiTheme="majorHAnsi" w:hAnsiTheme="majorHAnsi"/>
        </w:rPr>
        <w:lastRenderedPageBreak/>
        <w:t>mixed practice</w:t>
      </w:r>
      <w:r>
        <w:rPr>
          <w:rFonts w:asciiTheme="majorHAnsi" w:hAnsiTheme="majorHAnsi"/>
        </w:rPr>
        <w:t>s</w:t>
      </w:r>
      <w:r w:rsidRPr="00F704B5">
        <w:rPr>
          <w:rFonts w:asciiTheme="majorHAnsi" w:hAnsiTheme="majorHAnsi"/>
        </w:rPr>
        <w:t xml:space="preserve"> or clinic</w:t>
      </w:r>
      <w:r>
        <w:rPr>
          <w:rFonts w:asciiTheme="majorHAnsi" w:hAnsiTheme="majorHAnsi"/>
        </w:rPr>
        <w:t>s</w:t>
      </w:r>
      <w:r w:rsidRPr="00F704B5">
        <w:rPr>
          <w:rFonts w:asciiTheme="majorHAnsi" w:hAnsiTheme="majorHAnsi"/>
        </w:rPr>
        <w:t xml:space="preserve"> that employs at least one board-certified obstetric or gynecology provider whose primary scope of practice is </w:t>
      </w:r>
      <w:hyperlink r:id="rId27" w:history="1">
        <w:r w:rsidRPr="00FC2E68">
          <w:rPr>
            <w:rStyle w:val="Hyperlink"/>
            <w:rFonts w:asciiTheme="majorHAnsi" w:hAnsiTheme="majorHAnsi"/>
            <w:color w:val="auto"/>
            <w:u w:val="none"/>
          </w:rPr>
          <w:t>women’s preventive services as defined by ACOG</w:t>
        </w:r>
      </w:hyperlink>
      <w:r w:rsidRPr="00923916">
        <w:rPr>
          <w:rFonts w:asciiTheme="majorHAnsi" w:hAnsiTheme="majorHAnsi"/>
        </w:rPr>
        <w:t>.</w:t>
      </w:r>
    </w:p>
    <w:p w:rsidR="001827AF" w:rsidRPr="00F704B5" w:rsidRDefault="001827AF" w:rsidP="001827AF">
      <w:pPr>
        <w:rPr>
          <w:rFonts w:asciiTheme="majorHAnsi" w:hAnsiTheme="majorHAnsi" w:cs="Arial"/>
        </w:rPr>
      </w:pPr>
    </w:p>
    <w:p w:rsidR="001827AF" w:rsidRPr="00F704B5" w:rsidRDefault="001827AF" w:rsidP="000815EB">
      <w:pPr>
        <w:pStyle w:val="Heading2"/>
      </w:pPr>
      <w:bookmarkStart w:id="123" w:name="_Ref479012870"/>
      <w:bookmarkStart w:id="124" w:name="_Toc521488609"/>
      <w:r w:rsidRPr="00F704B5">
        <w:t>WHI Strategies</w:t>
      </w:r>
      <w:bookmarkEnd w:id="123"/>
      <w:bookmarkEnd w:id="124"/>
      <w:r w:rsidRPr="00F704B5">
        <w:t xml:space="preserve"> </w:t>
      </w:r>
    </w:p>
    <w:p w:rsidR="001827AF" w:rsidRPr="00F704B5" w:rsidRDefault="001827AF" w:rsidP="001827AF">
      <w:pPr>
        <w:rPr>
          <w:rFonts w:asciiTheme="majorHAnsi" w:hAnsiTheme="majorHAnsi" w:cs="Arial"/>
        </w:rPr>
      </w:pPr>
      <w:r>
        <w:rPr>
          <w:rFonts w:asciiTheme="majorHAnsi" w:hAnsiTheme="majorHAnsi" w:cs="Arial"/>
        </w:rPr>
        <w:t>WHI</w:t>
      </w:r>
      <w:r w:rsidRPr="00F704B5">
        <w:rPr>
          <w:rFonts w:asciiTheme="majorHAnsi" w:hAnsiTheme="majorHAnsi" w:cs="Arial"/>
        </w:rPr>
        <w:t xml:space="preserve"> </w:t>
      </w:r>
      <w:r>
        <w:rPr>
          <w:rFonts w:asciiTheme="majorHAnsi" w:hAnsiTheme="majorHAnsi" w:cs="Arial"/>
        </w:rPr>
        <w:t>s</w:t>
      </w:r>
      <w:r w:rsidRPr="00F704B5">
        <w:rPr>
          <w:rFonts w:asciiTheme="majorHAnsi" w:hAnsiTheme="majorHAnsi" w:cs="Arial"/>
        </w:rPr>
        <w:t>trategies were identified to address the risks for unintended pregnancy and to improve the health of women and their children.  The strategies focus on improving health and reducing health risk, enhancing family planning services, addressing barriers to accessing long acting reversible contraception (LARC)</w:t>
      </w:r>
      <w:r>
        <w:rPr>
          <w:rFonts w:asciiTheme="majorHAnsi" w:hAnsiTheme="majorHAnsi" w:cs="Arial"/>
        </w:rPr>
        <w:t>,</w:t>
      </w:r>
      <w:r w:rsidRPr="00F704B5">
        <w:rPr>
          <w:rFonts w:asciiTheme="majorHAnsi" w:hAnsiTheme="majorHAnsi" w:cs="Arial"/>
        </w:rPr>
        <w:t xml:space="preserve"> and further enhancing the integration of health services. Practices who choose to participate in the Women’s Health Initiative agree to implement and maintain the WHI strategies, which include:</w:t>
      </w:r>
    </w:p>
    <w:p w:rsidR="001827AF" w:rsidRPr="00F704B5" w:rsidRDefault="001827AF" w:rsidP="001827AF">
      <w:pPr>
        <w:rPr>
          <w:rFonts w:asciiTheme="majorHAnsi" w:hAnsiTheme="majorHAnsi" w:cs="Arial"/>
        </w:rPr>
      </w:pPr>
    </w:p>
    <w:p w:rsidR="001827AF" w:rsidRPr="00F704B5" w:rsidRDefault="001827AF" w:rsidP="00515635">
      <w:pPr>
        <w:pStyle w:val="ListParagraph"/>
        <w:numPr>
          <w:ilvl w:val="0"/>
          <w:numId w:val="24"/>
        </w:numPr>
        <w:rPr>
          <w:rFonts w:asciiTheme="majorHAnsi" w:hAnsiTheme="majorHAnsi" w:cs="Arial"/>
        </w:rPr>
      </w:pPr>
      <w:r w:rsidRPr="00F704B5">
        <w:rPr>
          <w:rFonts w:asciiTheme="majorHAnsi" w:hAnsiTheme="majorHAnsi" w:cs="Arial"/>
          <w:b/>
        </w:rPr>
        <w:t xml:space="preserve">Stock LARC: </w:t>
      </w:r>
      <w:r w:rsidRPr="00F704B5">
        <w:rPr>
          <w:rFonts w:asciiTheme="majorHAnsi" w:hAnsiTheme="majorHAnsi" w:cs="Arial"/>
        </w:rPr>
        <w:t xml:space="preserve">Within one (1) month of receiving the PMP, the WHI practice will stock the full spectrum of LARC devices at a level adequate for the practice size to ensure the availability of same-day insertions for women who choose LARC as their preferred birth control method. The minimum number of stocked LARC devices shall be proportional to the number of patients served by the practice, as outlined in the table below: </w:t>
      </w:r>
    </w:p>
    <w:p w:rsidR="001827AF" w:rsidRPr="00F704B5" w:rsidRDefault="001827AF" w:rsidP="001827AF">
      <w:pPr>
        <w:rPr>
          <w:rFonts w:asciiTheme="majorHAnsi" w:hAnsiTheme="majorHAnsi" w:cs="Arial"/>
        </w:rPr>
      </w:pPr>
    </w:p>
    <w:tbl>
      <w:tblPr>
        <w:tblW w:w="886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22"/>
        <w:gridCol w:w="7047"/>
      </w:tblGrid>
      <w:tr w:rsidR="001827AF" w:rsidRPr="00F704B5" w:rsidTr="00D62B8B">
        <w:trPr>
          <w:cantSplit/>
          <w:trHeight w:val="300"/>
          <w:tblHeader/>
        </w:trPr>
        <w:tc>
          <w:tcPr>
            <w:tcW w:w="1822" w:type="dxa"/>
            <w:shd w:val="clear" w:color="auto" w:fill="DBE5F1" w:themeFill="accent1" w:themeFillTint="33"/>
            <w:noWrap/>
            <w:vAlign w:val="bottom"/>
          </w:tcPr>
          <w:p w:rsidR="001827AF" w:rsidRPr="00F704B5" w:rsidRDefault="001827AF" w:rsidP="00D62B8B">
            <w:pPr>
              <w:rPr>
                <w:rFonts w:asciiTheme="majorHAnsi" w:eastAsia="Times New Roman" w:hAnsiTheme="majorHAnsi" w:cs="Arial"/>
                <w:b/>
              </w:rPr>
            </w:pPr>
            <w:r w:rsidRPr="00F704B5">
              <w:rPr>
                <w:rFonts w:asciiTheme="majorHAnsi" w:eastAsia="Times New Roman" w:hAnsiTheme="majorHAnsi" w:cs="Arial"/>
                <w:b/>
              </w:rPr>
              <w:t>Number of WHI Patients</w:t>
            </w:r>
          </w:p>
        </w:tc>
        <w:tc>
          <w:tcPr>
            <w:tcW w:w="7047" w:type="dxa"/>
            <w:shd w:val="clear" w:color="auto" w:fill="DBE5F1" w:themeFill="accent1" w:themeFillTint="33"/>
            <w:noWrap/>
            <w:vAlign w:val="bottom"/>
          </w:tcPr>
          <w:p w:rsidR="001827AF" w:rsidRPr="00F704B5" w:rsidRDefault="001827AF" w:rsidP="00D62B8B">
            <w:pPr>
              <w:rPr>
                <w:rFonts w:asciiTheme="majorHAnsi" w:eastAsia="Times New Roman" w:hAnsiTheme="majorHAnsi" w:cs="Arial"/>
                <w:b/>
              </w:rPr>
            </w:pPr>
            <w:r w:rsidRPr="00F704B5">
              <w:rPr>
                <w:rFonts w:asciiTheme="majorHAnsi" w:eastAsia="Times New Roman" w:hAnsiTheme="majorHAnsi" w:cs="Arial"/>
                <w:b/>
              </w:rPr>
              <w:t>Minimum Number of Devices</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 xml:space="preserve">up to 300 </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at least 5 devices, including 2 of hormonal IUD, 2 non-hormonal IUD, and 1 implant</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300-499</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at least 6 devices, including 2 hormonal IUD, 2 non-hormonal IUD, and 1 implant</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500-699</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at least 9 devices, including 2 hormonal IUD, 2 non-hormonal IUD, and 1 implant</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700-799</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at least 12 devices, including 2 hormonal IUD, 2 non-hormonal IUD, and 1 implant</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800-999</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 xml:space="preserve">at least 15 devices, including 2 hormonal IUD, 2 non-hormonal IUD, and 1 implant </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1000-1199</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at least 18 devices, including 2 hormonal IUD, 2 non-hormonal IUD, and 1 implant</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1200-1299</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 xml:space="preserve">at least 21 devices, including 2 hormonal IUD, 2 non-hormonal IUD, and 1 implant </w:t>
            </w:r>
          </w:p>
        </w:tc>
      </w:tr>
      <w:tr w:rsidR="001827AF" w:rsidRPr="00F704B5" w:rsidTr="00D62B8B">
        <w:trPr>
          <w:trHeight w:val="300"/>
        </w:trPr>
        <w:tc>
          <w:tcPr>
            <w:tcW w:w="1822"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1300 or greater</w:t>
            </w:r>
          </w:p>
        </w:tc>
        <w:tc>
          <w:tcPr>
            <w:tcW w:w="7047" w:type="dxa"/>
            <w:shd w:val="clear" w:color="auto" w:fill="auto"/>
            <w:noWrap/>
            <w:vAlign w:val="bottom"/>
            <w:hideMark/>
          </w:tcPr>
          <w:p w:rsidR="001827AF" w:rsidRPr="00F704B5" w:rsidRDefault="001827AF" w:rsidP="00D62B8B">
            <w:pPr>
              <w:rPr>
                <w:rFonts w:asciiTheme="majorHAnsi" w:eastAsia="Times New Roman" w:hAnsiTheme="majorHAnsi"/>
              </w:rPr>
            </w:pPr>
            <w:r w:rsidRPr="00F704B5">
              <w:rPr>
                <w:rFonts w:asciiTheme="majorHAnsi" w:eastAsia="Times New Roman" w:hAnsiTheme="majorHAnsi"/>
              </w:rPr>
              <w:t xml:space="preserve">at least 24 devices, including 2 hormonal IUD, 2 non-hormonal IUD, and 1 implant </w:t>
            </w:r>
          </w:p>
        </w:tc>
      </w:tr>
    </w:tbl>
    <w:p w:rsidR="001827AF" w:rsidRPr="00F704B5" w:rsidRDefault="001827AF" w:rsidP="001827AF">
      <w:pPr>
        <w:ind w:left="720"/>
        <w:rPr>
          <w:rFonts w:asciiTheme="majorHAnsi" w:hAnsiTheme="majorHAnsi" w:cs="Arial"/>
        </w:rPr>
      </w:pPr>
      <w:r w:rsidRPr="00F704B5">
        <w:rPr>
          <w:rFonts w:asciiTheme="majorHAnsi" w:hAnsiTheme="majorHAnsi" w:cs="Arial"/>
        </w:rPr>
        <w:br/>
        <w:t xml:space="preserve">WHI practices that receive payment for more than </w:t>
      </w:r>
      <w:r>
        <w:rPr>
          <w:rFonts w:asciiTheme="majorHAnsi" w:hAnsiTheme="majorHAnsi" w:cs="Arial"/>
        </w:rPr>
        <w:t>two</w:t>
      </w:r>
      <w:r w:rsidRPr="00F704B5">
        <w:rPr>
          <w:rFonts w:asciiTheme="majorHAnsi" w:hAnsiTheme="majorHAnsi" w:cs="Arial"/>
        </w:rPr>
        <w:t xml:space="preserve"> IUDs of each type and the </w:t>
      </w:r>
      <w:r>
        <w:rPr>
          <w:rFonts w:asciiTheme="majorHAnsi" w:hAnsiTheme="majorHAnsi" w:cs="Arial"/>
        </w:rPr>
        <w:t xml:space="preserve">one </w:t>
      </w:r>
      <w:r w:rsidRPr="00F704B5">
        <w:rPr>
          <w:rFonts w:asciiTheme="majorHAnsi" w:hAnsiTheme="majorHAnsi" w:cs="Arial"/>
        </w:rPr>
        <w:t xml:space="preserve">implant have the flexibility to choose among the available options to fulfill the needs of their patients after stocking the minimum requirement. </w:t>
      </w:r>
    </w:p>
    <w:p w:rsidR="001827AF" w:rsidRPr="00F704B5" w:rsidRDefault="001827AF" w:rsidP="00515635">
      <w:pPr>
        <w:pStyle w:val="ListParagraph"/>
        <w:numPr>
          <w:ilvl w:val="0"/>
          <w:numId w:val="24"/>
        </w:numPr>
        <w:rPr>
          <w:rFonts w:asciiTheme="majorHAnsi" w:hAnsiTheme="majorHAnsi" w:cs="Arial"/>
        </w:rPr>
      </w:pPr>
      <w:r w:rsidRPr="00F704B5">
        <w:rPr>
          <w:rFonts w:asciiTheme="majorHAnsi" w:hAnsiTheme="majorHAnsi" w:cs="Arial"/>
          <w:b/>
        </w:rPr>
        <w:t xml:space="preserve">Screen for Mental Health, Substance Abuse, and Inter-Partner Violence: </w:t>
      </w:r>
      <w:r w:rsidRPr="00F704B5">
        <w:rPr>
          <w:rFonts w:asciiTheme="majorHAnsi" w:hAnsiTheme="majorHAnsi" w:cs="Arial"/>
        </w:rPr>
        <w:t xml:space="preserve">Within the first three (3) months of WHI CHT and PMPM payments, the WHI practice will </w:t>
      </w:r>
      <w:r w:rsidRPr="00F704B5">
        <w:rPr>
          <w:rFonts w:asciiTheme="majorHAnsi" w:hAnsiTheme="majorHAnsi" w:cs="Arial"/>
        </w:rPr>
        <w:lastRenderedPageBreak/>
        <w:t>develop and implement policies and procedures for screening, brief intervention, and referral for depression, intimate partner violence, and substance abuse.</w:t>
      </w:r>
    </w:p>
    <w:p w:rsidR="001827AF" w:rsidRPr="00F704B5" w:rsidRDefault="001827AF" w:rsidP="00515635">
      <w:pPr>
        <w:pStyle w:val="ListParagraph"/>
        <w:numPr>
          <w:ilvl w:val="0"/>
          <w:numId w:val="24"/>
        </w:numPr>
        <w:rPr>
          <w:rFonts w:asciiTheme="majorHAnsi" w:hAnsiTheme="majorHAnsi" w:cs="Arial"/>
        </w:rPr>
      </w:pPr>
      <w:r w:rsidRPr="00F704B5">
        <w:rPr>
          <w:rFonts w:asciiTheme="majorHAnsi" w:hAnsiTheme="majorHAnsi" w:cs="Arial"/>
          <w:b/>
        </w:rPr>
        <w:t xml:space="preserve">Provide Family Planning Counseling: </w:t>
      </w:r>
      <w:r w:rsidRPr="00F704B5">
        <w:rPr>
          <w:rFonts w:asciiTheme="majorHAnsi" w:hAnsiTheme="majorHAnsi" w:cs="Arial"/>
        </w:rPr>
        <w:t>Within the first three (3) months of WHI CHT and PMPM payments, the WHI practice will update and/or implement a policy and procedure for evidence-based, comprehensive family planning counseling including implementing “One Key Question</w:t>
      </w:r>
      <w:r>
        <w:rPr>
          <w:rFonts w:asciiTheme="majorHAnsi" w:hAnsiTheme="majorHAnsi" w:cs="Arial"/>
        </w:rPr>
        <w:t>.</w:t>
      </w:r>
      <w:r w:rsidRPr="00F704B5">
        <w:rPr>
          <w:rFonts w:asciiTheme="majorHAnsi" w:hAnsiTheme="majorHAnsi" w:cs="Arial"/>
        </w:rPr>
        <w:t>”</w:t>
      </w:r>
    </w:p>
    <w:p w:rsidR="001827AF" w:rsidRPr="00F704B5" w:rsidRDefault="001827AF" w:rsidP="00515635">
      <w:pPr>
        <w:pStyle w:val="ListParagraph"/>
        <w:numPr>
          <w:ilvl w:val="0"/>
          <w:numId w:val="24"/>
        </w:numPr>
        <w:rPr>
          <w:rFonts w:asciiTheme="majorHAnsi" w:hAnsiTheme="majorHAnsi" w:cs="Arial"/>
        </w:rPr>
      </w:pPr>
      <w:r w:rsidRPr="00F704B5">
        <w:rPr>
          <w:rFonts w:asciiTheme="majorHAnsi" w:hAnsiTheme="majorHAnsi" w:cs="Arial"/>
          <w:b/>
        </w:rPr>
        <w:t xml:space="preserve">Offer Same Day LARC Insertion: </w:t>
      </w:r>
      <w:r w:rsidRPr="00F704B5">
        <w:rPr>
          <w:rFonts w:asciiTheme="majorHAnsi" w:hAnsiTheme="majorHAnsi" w:cs="Arial"/>
        </w:rPr>
        <w:t>Within the first six (6) months of WHI CHT and PMPM payments, the WHI practice will develop and implement a policy and procedure to provide same-day insertion for those women who choose LARC as their preferred birth control method.</w:t>
      </w:r>
    </w:p>
    <w:p w:rsidR="001827AF" w:rsidRPr="00F704B5" w:rsidRDefault="001827AF" w:rsidP="00515635">
      <w:pPr>
        <w:pStyle w:val="ListParagraph"/>
        <w:numPr>
          <w:ilvl w:val="0"/>
          <w:numId w:val="24"/>
        </w:numPr>
        <w:rPr>
          <w:rFonts w:asciiTheme="majorHAnsi" w:hAnsiTheme="majorHAnsi" w:cs="Arial"/>
        </w:rPr>
      </w:pPr>
      <w:r w:rsidRPr="00F704B5">
        <w:rPr>
          <w:rFonts w:asciiTheme="majorHAnsi" w:hAnsiTheme="majorHAnsi" w:cs="Arial"/>
          <w:b/>
        </w:rPr>
        <w:t xml:space="preserve">Develop Referral Networks for Women’s Health Services: </w:t>
      </w:r>
      <w:r w:rsidRPr="00F704B5">
        <w:rPr>
          <w:rFonts w:asciiTheme="majorHAnsi" w:hAnsiTheme="majorHAnsi" w:cs="Arial"/>
        </w:rPr>
        <w:t>Within the first twelve (12) months of WHI CHT and PMPM payments, the WHI practice will develop referral protocols and written agreements with at least three (3) community based organizations to see patients within one (1) week of being referred for family planning services. At that visit, the WHI practice will provide same-day availability for the full spectrum of birth control options, including LARC devices.</w:t>
      </w:r>
    </w:p>
    <w:p w:rsidR="001827AF" w:rsidRPr="00F704B5" w:rsidRDefault="001827AF" w:rsidP="00515635">
      <w:pPr>
        <w:pStyle w:val="ListParagraph"/>
        <w:numPr>
          <w:ilvl w:val="0"/>
          <w:numId w:val="24"/>
        </w:numPr>
        <w:rPr>
          <w:rFonts w:asciiTheme="majorHAnsi" w:hAnsiTheme="majorHAnsi" w:cs="Arial"/>
        </w:rPr>
      </w:pPr>
      <w:r w:rsidRPr="00F704B5">
        <w:rPr>
          <w:rFonts w:asciiTheme="majorHAnsi" w:hAnsiTheme="majorHAnsi" w:cs="Arial"/>
          <w:b/>
        </w:rPr>
        <w:t xml:space="preserve">Develop Referral Networks for Primary Care: </w:t>
      </w:r>
      <w:r w:rsidRPr="00F704B5">
        <w:rPr>
          <w:rFonts w:asciiTheme="majorHAnsi" w:hAnsiTheme="majorHAnsi" w:cs="Arial"/>
        </w:rPr>
        <w:t>Within the first twelve (12) months of WHI CHT and PMPM payments, the WHI practice will develop a referral protocol and written agreement with at least one (1) patient-centered medical home (PCMH) primary care practice to accept patients identified as not having a primary care provider.</w:t>
      </w:r>
    </w:p>
    <w:p w:rsidR="001827AF" w:rsidRPr="00F704B5" w:rsidRDefault="001827AF" w:rsidP="00515635">
      <w:pPr>
        <w:pStyle w:val="ListParagraph"/>
        <w:numPr>
          <w:ilvl w:val="0"/>
          <w:numId w:val="24"/>
        </w:numPr>
        <w:rPr>
          <w:rFonts w:asciiTheme="majorHAnsi" w:hAnsiTheme="majorHAnsi" w:cs="Arial"/>
        </w:rPr>
      </w:pPr>
      <w:r w:rsidRPr="00F704B5">
        <w:rPr>
          <w:rFonts w:asciiTheme="majorHAnsi" w:hAnsiTheme="majorHAnsi" w:cs="Arial"/>
          <w:b/>
        </w:rPr>
        <w:t xml:space="preserve">Screening for Social Determinants of Health: </w:t>
      </w:r>
      <w:r w:rsidRPr="00F704B5">
        <w:rPr>
          <w:rFonts w:asciiTheme="majorHAnsi" w:hAnsiTheme="majorHAnsi" w:cs="Arial"/>
        </w:rPr>
        <w:t>Within the first eighteen (18) months of WHI CHT and PMPM payments, the WHI practice will develop and implement policies and procedures to screen for access to a primary care provider/PCMH, food insecurity, and housing insecurity and to refer to services in the event of a positive screen.</w:t>
      </w:r>
    </w:p>
    <w:p w:rsidR="001827AF" w:rsidRPr="00F704B5" w:rsidRDefault="001827AF" w:rsidP="001827AF">
      <w:pPr>
        <w:rPr>
          <w:rFonts w:asciiTheme="majorHAnsi" w:hAnsiTheme="majorHAnsi" w:cs="Arial"/>
        </w:rPr>
      </w:pPr>
    </w:p>
    <w:p w:rsidR="001827AF" w:rsidRPr="00F704B5" w:rsidRDefault="001827AF" w:rsidP="000815EB">
      <w:pPr>
        <w:pStyle w:val="Heading2"/>
      </w:pPr>
      <w:r w:rsidRPr="00F704B5">
        <w:t xml:space="preserve"> </w:t>
      </w:r>
      <w:bookmarkStart w:id="125" w:name="_Ref479012896"/>
      <w:bookmarkStart w:id="126" w:name="_Toc521488610"/>
      <w:r w:rsidRPr="00F704B5">
        <w:t>Women’s Health Initiative Payments</w:t>
      </w:r>
      <w:bookmarkEnd w:id="125"/>
      <w:bookmarkEnd w:id="126"/>
      <w:r w:rsidRPr="00F704B5">
        <w:t xml:space="preserve"> </w:t>
      </w:r>
    </w:p>
    <w:p w:rsidR="001827AF" w:rsidRPr="00F704B5" w:rsidRDefault="001827AF" w:rsidP="001827AF">
      <w:pPr>
        <w:rPr>
          <w:rFonts w:asciiTheme="majorHAnsi" w:hAnsiTheme="majorHAnsi"/>
        </w:rPr>
      </w:pPr>
      <w:r w:rsidRPr="00F704B5">
        <w:rPr>
          <w:rFonts w:asciiTheme="majorHAnsi" w:hAnsiTheme="majorHAnsi" w:cs="Arial"/>
        </w:rPr>
        <w:t xml:space="preserve">WHI practices shall receive three (3) Blueprint-specific forms of payment from WHI-participating insurers or payers, to support the provision of high-quality women’s health primary care and </w:t>
      </w:r>
      <w:r w:rsidRPr="00F704B5">
        <w:rPr>
          <w:rFonts w:asciiTheme="majorHAnsi" w:hAnsiTheme="majorHAnsi"/>
        </w:rPr>
        <w:t>well-coordinated preventive women’s health services for women age</w:t>
      </w:r>
      <w:r>
        <w:rPr>
          <w:rFonts w:asciiTheme="majorHAnsi" w:hAnsiTheme="majorHAnsi"/>
        </w:rPr>
        <w:t>s</w:t>
      </w:r>
      <w:r w:rsidRPr="00F704B5">
        <w:rPr>
          <w:rFonts w:asciiTheme="majorHAnsi" w:hAnsiTheme="majorHAnsi"/>
        </w:rPr>
        <w:t xml:space="preserve"> 15 – 44.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Payments include:</w:t>
      </w:r>
    </w:p>
    <w:p w:rsidR="001827AF" w:rsidRPr="00F704B5" w:rsidRDefault="001827AF" w:rsidP="00515635">
      <w:pPr>
        <w:pStyle w:val="ListParagraph"/>
        <w:numPr>
          <w:ilvl w:val="0"/>
          <w:numId w:val="28"/>
        </w:numPr>
        <w:rPr>
          <w:rFonts w:asciiTheme="majorHAnsi" w:hAnsiTheme="majorHAnsi"/>
        </w:rPr>
      </w:pPr>
      <w:r w:rsidRPr="00F704B5">
        <w:rPr>
          <w:rFonts w:asciiTheme="majorHAnsi" w:hAnsiTheme="majorHAnsi"/>
        </w:rPr>
        <w:t>Recurring per member per month (PMPM) payments to WHI practices</w:t>
      </w:r>
    </w:p>
    <w:p w:rsidR="001827AF" w:rsidRPr="00F704B5" w:rsidRDefault="001827AF" w:rsidP="00515635">
      <w:pPr>
        <w:pStyle w:val="ListParagraph"/>
        <w:numPr>
          <w:ilvl w:val="0"/>
          <w:numId w:val="28"/>
        </w:numPr>
        <w:rPr>
          <w:rFonts w:asciiTheme="majorHAnsi" w:hAnsiTheme="majorHAnsi"/>
        </w:rPr>
      </w:pPr>
      <w:r w:rsidRPr="00F704B5">
        <w:rPr>
          <w:rFonts w:asciiTheme="majorHAnsi" w:hAnsiTheme="majorHAnsi"/>
        </w:rPr>
        <w:t>Recurring payments to support WHI Community Health Team (CHT) staff to the CHT administrative entities</w:t>
      </w:r>
    </w:p>
    <w:p w:rsidR="001827AF" w:rsidRPr="00F704B5" w:rsidRDefault="001827AF" w:rsidP="00515635">
      <w:pPr>
        <w:pStyle w:val="ListParagraph"/>
        <w:numPr>
          <w:ilvl w:val="0"/>
          <w:numId w:val="28"/>
        </w:numPr>
        <w:rPr>
          <w:rFonts w:asciiTheme="majorHAnsi" w:hAnsiTheme="majorHAnsi"/>
        </w:rPr>
      </w:pPr>
      <w:r w:rsidRPr="00F704B5">
        <w:rPr>
          <w:rFonts w:asciiTheme="majorHAnsi" w:hAnsiTheme="majorHAnsi"/>
        </w:rPr>
        <w:t>A one-time per member payment (PMP) to support stocking of Long Acting Reversible Contraceptive (LARC) devices to WHI practices.</w:t>
      </w:r>
    </w:p>
    <w:p w:rsidR="001827AF" w:rsidRPr="00F704B5" w:rsidRDefault="001827AF" w:rsidP="001827AF">
      <w:pPr>
        <w:rPr>
          <w:rFonts w:asciiTheme="majorHAnsi" w:hAnsiTheme="majorHAnsi"/>
        </w:rPr>
      </w:pPr>
    </w:p>
    <w:p w:rsidR="001827AF" w:rsidRPr="00F704B5" w:rsidRDefault="001827AF" w:rsidP="006E05C6">
      <w:pPr>
        <w:pStyle w:val="Heading3"/>
      </w:pPr>
      <w:bookmarkStart w:id="127" w:name="_Toc521488611"/>
      <w:r w:rsidRPr="00F704B5">
        <w:t>WHI Insurers or Payers</w:t>
      </w:r>
      <w:bookmarkEnd w:id="127"/>
      <w:r w:rsidRPr="00F704B5">
        <w:t xml:space="preserve"> </w:t>
      </w:r>
    </w:p>
    <w:p w:rsidR="001827AF" w:rsidRPr="00F704B5" w:rsidRDefault="001827AF" w:rsidP="001827AF">
      <w:pPr>
        <w:rPr>
          <w:rFonts w:asciiTheme="majorHAnsi" w:hAnsiTheme="majorHAnsi"/>
        </w:rPr>
      </w:pPr>
      <w:r w:rsidRPr="00F704B5">
        <w:rPr>
          <w:rFonts w:asciiTheme="majorHAnsi" w:hAnsiTheme="majorHAnsi"/>
        </w:rPr>
        <w:t>WHI-participating insurer</w:t>
      </w:r>
      <w:r>
        <w:rPr>
          <w:rFonts w:asciiTheme="majorHAnsi" w:hAnsiTheme="majorHAnsi"/>
        </w:rPr>
        <w:t>s</w:t>
      </w:r>
      <w:r w:rsidRPr="00F704B5">
        <w:rPr>
          <w:rFonts w:asciiTheme="majorHAnsi" w:hAnsiTheme="majorHAnsi"/>
        </w:rPr>
        <w:t xml:space="preserve"> or payer</w:t>
      </w:r>
      <w:r>
        <w:rPr>
          <w:rFonts w:asciiTheme="majorHAnsi" w:hAnsiTheme="majorHAnsi"/>
        </w:rPr>
        <w:t>s</w:t>
      </w:r>
      <w:r w:rsidRPr="00F704B5">
        <w:rPr>
          <w:rFonts w:asciiTheme="majorHAnsi" w:hAnsiTheme="majorHAnsi"/>
        </w:rPr>
        <w:t xml:space="preserve"> include Vermont Medicaid and payers that voluntarily elect to participate in the WHI. </w:t>
      </w:r>
    </w:p>
    <w:p w:rsidR="001827AF" w:rsidRPr="00F704B5" w:rsidRDefault="001827AF" w:rsidP="001827AF">
      <w:pPr>
        <w:rPr>
          <w:rFonts w:asciiTheme="majorHAnsi" w:hAnsiTheme="majorHAnsi" w:cs="Arial"/>
        </w:rPr>
      </w:pPr>
    </w:p>
    <w:p w:rsidR="001827AF" w:rsidRPr="00F704B5" w:rsidRDefault="001827AF" w:rsidP="006E05C6">
      <w:pPr>
        <w:pStyle w:val="Heading3"/>
      </w:pPr>
      <w:r w:rsidRPr="00F704B5">
        <w:t xml:space="preserve"> </w:t>
      </w:r>
      <w:bookmarkStart w:id="128" w:name="_Toc521488612"/>
      <w:r w:rsidRPr="00F704B5">
        <w:t>Women’s Health Initiative (WHI) Attribution</w:t>
      </w:r>
      <w:bookmarkEnd w:id="128"/>
    </w:p>
    <w:p w:rsidR="001827AF" w:rsidRPr="00F704B5" w:rsidRDefault="001827AF" w:rsidP="001827AF">
      <w:pPr>
        <w:rPr>
          <w:rFonts w:asciiTheme="majorHAnsi" w:hAnsiTheme="majorHAnsi"/>
        </w:rPr>
      </w:pPr>
      <w:r w:rsidRPr="00F704B5">
        <w:rPr>
          <w:rFonts w:asciiTheme="majorHAnsi" w:hAnsiTheme="majorHAnsi"/>
        </w:rPr>
        <w:t xml:space="preserve">WHI payments are based on the total number of women between the ages of 15 and 44 </w:t>
      </w:r>
      <w:r>
        <w:rPr>
          <w:rFonts w:asciiTheme="majorHAnsi" w:hAnsiTheme="majorHAnsi"/>
        </w:rPr>
        <w:t>(including women who are 44</w:t>
      </w:r>
      <w:r w:rsidRPr="00F704B5">
        <w:rPr>
          <w:rFonts w:asciiTheme="majorHAnsi" w:hAnsiTheme="majorHAnsi"/>
        </w:rPr>
        <w:t>) who receive services from each WHI practice</w:t>
      </w:r>
      <w:r>
        <w:rPr>
          <w:rFonts w:asciiTheme="majorHAnsi" w:hAnsiTheme="majorHAnsi"/>
        </w:rPr>
        <w:t xml:space="preserve"> and who are beneficiaries of participating insurers</w:t>
      </w:r>
      <w:r w:rsidRPr="00F704B5">
        <w:rPr>
          <w:rFonts w:asciiTheme="majorHAnsi" w:hAnsiTheme="majorHAnsi"/>
        </w:rPr>
        <w:t xml:space="preserve">.  </w:t>
      </w:r>
      <w:r>
        <w:rPr>
          <w:rFonts w:asciiTheme="majorHAnsi" w:hAnsiTheme="majorHAnsi"/>
        </w:rPr>
        <w:t>WHI-participating i</w:t>
      </w:r>
      <w:r w:rsidRPr="00F704B5">
        <w:rPr>
          <w:rFonts w:asciiTheme="majorHAnsi" w:hAnsiTheme="majorHAnsi"/>
        </w:rPr>
        <w:t xml:space="preserve">nsurers will calculate the total number of </w:t>
      </w:r>
      <w:r w:rsidRPr="00F704B5">
        <w:rPr>
          <w:rFonts w:asciiTheme="majorHAnsi" w:hAnsiTheme="majorHAnsi" w:cs="Arial"/>
        </w:rPr>
        <w:t xml:space="preserve">current active WHI patients </w:t>
      </w:r>
      <w:r>
        <w:rPr>
          <w:rFonts w:asciiTheme="majorHAnsi" w:hAnsiTheme="majorHAnsi" w:cs="Arial"/>
        </w:rPr>
        <w:t>who</w:t>
      </w:r>
      <w:r w:rsidRPr="00F704B5">
        <w:rPr>
          <w:rFonts w:asciiTheme="majorHAnsi" w:hAnsiTheme="majorHAnsi" w:cs="Arial"/>
        </w:rPr>
        <w:t xml:space="preserve"> are attributed to each WHI practice. </w:t>
      </w:r>
      <w:r w:rsidRPr="00F704B5">
        <w:rPr>
          <w:rFonts w:asciiTheme="majorHAnsi" w:hAnsiTheme="majorHAnsi"/>
        </w:rPr>
        <w:t xml:space="preserve">The same attribution methodology will be used for all three forms of WHI payments and includes a process for assigning providers to practices through a practice roster and attributing patients to each provider through health care claims as outlined below.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C2E68">
        <w:rPr>
          <w:rFonts w:asciiTheme="majorHAnsi" w:hAnsiTheme="majorHAnsi"/>
          <w:b/>
        </w:rPr>
        <w:t>Practice</w:t>
      </w:r>
      <w:r w:rsidRPr="006475F8">
        <w:rPr>
          <w:rFonts w:asciiTheme="majorHAnsi" w:hAnsiTheme="majorHAnsi"/>
          <w:b/>
        </w:rPr>
        <w:t xml:space="preserve"> Rosters</w:t>
      </w:r>
      <w:r>
        <w:rPr>
          <w:rFonts w:asciiTheme="majorHAnsi" w:hAnsiTheme="majorHAnsi"/>
          <w:b/>
        </w:rPr>
        <w:t xml:space="preserve">: </w:t>
      </w:r>
      <w:r w:rsidRPr="00F704B5">
        <w:rPr>
          <w:rFonts w:asciiTheme="majorHAnsi" w:hAnsiTheme="majorHAnsi"/>
        </w:rPr>
        <w:t xml:space="preserve">When a practice joins the WHI and on-going as changes occur, WHI practices will provide the Blueprint with a roster of the WHI </w:t>
      </w:r>
      <w:r>
        <w:rPr>
          <w:rFonts w:asciiTheme="majorHAnsi" w:hAnsiTheme="majorHAnsi"/>
        </w:rPr>
        <w:t>e</w:t>
      </w:r>
      <w:r w:rsidRPr="00F704B5">
        <w:rPr>
          <w:rFonts w:asciiTheme="majorHAnsi" w:hAnsiTheme="majorHAnsi"/>
        </w:rPr>
        <w:t xml:space="preserve">ligible </w:t>
      </w:r>
      <w:r>
        <w:rPr>
          <w:rFonts w:asciiTheme="majorHAnsi" w:hAnsiTheme="majorHAnsi"/>
        </w:rPr>
        <w:t>p</w:t>
      </w:r>
      <w:r w:rsidRPr="00F704B5">
        <w:rPr>
          <w:rFonts w:asciiTheme="majorHAnsi" w:hAnsiTheme="majorHAnsi"/>
        </w:rPr>
        <w:t>roviders within their practices. Eligible providers, includ</w:t>
      </w:r>
      <w:r>
        <w:rPr>
          <w:rFonts w:asciiTheme="majorHAnsi" w:hAnsiTheme="majorHAnsi"/>
        </w:rPr>
        <w:t>e</w:t>
      </w:r>
      <w:r w:rsidRPr="00F704B5">
        <w:rPr>
          <w:rFonts w:asciiTheme="majorHAnsi" w:hAnsiTheme="majorHAnsi"/>
        </w:rPr>
        <w:t xml:space="preserve"> physicians (MDs and DOs), advanced practice registered nurses (nurse-practitioners and certified nurse midwives), and physician assistants, who either: </w:t>
      </w:r>
    </w:p>
    <w:p w:rsidR="001827AF" w:rsidRPr="00923916" w:rsidRDefault="001827AF" w:rsidP="00515635">
      <w:pPr>
        <w:pStyle w:val="ListParagraph"/>
        <w:numPr>
          <w:ilvl w:val="0"/>
          <w:numId w:val="25"/>
        </w:numPr>
        <w:rPr>
          <w:rFonts w:asciiTheme="majorHAnsi" w:hAnsiTheme="majorHAnsi"/>
        </w:rPr>
      </w:pPr>
      <w:r w:rsidRPr="00F704B5">
        <w:rPr>
          <w:rFonts w:asciiTheme="majorHAnsi" w:hAnsiTheme="majorHAnsi"/>
        </w:rPr>
        <w:t xml:space="preserve">Work in a gynecology, maternal-fetal medicine, obstetric, reproductive health, or family </w:t>
      </w:r>
      <w:r w:rsidRPr="00923916">
        <w:rPr>
          <w:rFonts w:asciiTheme="majorHAnsi" w:hAnsiTheme="majorHAnsi"/>
        </w:rPr>
        <w:t xml:space="preserve">planning medical practice that provides </w:t>
      </w:r>
      <w:hyperlink r:id="rId28" w:history="1">
        <w:r w:rsidRPr="00FC2E68">
          <w:rPr>
            <w:rStyle w:val="Hyperlink"/>
            <w:rFonts w:asciiTheme="majorHAnsi" w:hAnsiTheme="majorHAnsi"/>
            <w:color w:val="auto"/>
            <w:u w:val="none"/>
          </w:rPr>
          <w:t>women’s health preventive services as defined by ACOG</w:t>
        </w:r>
      </w:hyperlink>
      <w:r w:rsidRPr="00923916">
        <w:rPr>
          <w:rFonts w:asciiTheme="majorHAnsi" w:hAnsiTheme="majorHAnsi"/>
        </w:rPr>
        <w:t xml:space="preserve">; OR </w:t>
      </w:r>
    </w:p>
    <w:p w:rsidR="001827AF" w:rsidRPr="00923916" w:rsidRDefault="001827AF" w:rsidP="00515635">
      <w:pPr>
        <w:pStyle w:val="ListParagraph"/>
        <w:numPr>
          <w:ilvl w:val="0"/>
          <w:numId w:val="25"/>
        </w:numPr>
        <w:rPr>
          <w:rFonts w:asciiTheme="majorHAnsi" w:hAnsiTheme="majorHAnsi"/>
        </w:rPr>
      </w:pPr>
      <w:r w:rsidRPr="00923916">
        <w:rPr>
          <w:rFonts w:asciiTheme="majorHAnsi" w:hAnsiTheme="majorHAnsi"/>
        </w:rPr>
        <w:t xml:space="preserve">Work in a mixed-specialty practice as a board-certified obstetric or gynecology provider whose primary scope of practice is </w:t>
      </w:r>
      <w:hyperlink r:id="rId29" w:history="1">
        <w:r w:rsidRPr="00FC2E68">
          <w:rPr>
            <w:rStyle w:val="Hyperlink"/>
            <w:rFonts w:asciiTheme="majorHAnsi" w:hAnsiTheme="majorHAnsi"/>
            <w:color w:val="auto"/>
            <w:u w:val="none"/>
          </w:rPr>
          <w:t>women’s health preventive services as defined by ACOG</w:t>
        </w:r>
      </w:hyperlink>
      <w:r w:rsidRPr="00923916">
        <w:rPr>
          <w:rFonts w:asciiTheme="majorHAnsi" w:hAnsiTheme="majorHAnsi"/>
        </w:rPr>
        <w:t>.</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Quarterly</w:t>
      </w:r>
      <w:r>
        <w:rPr>
          <w:rFonts w:asciiTheme="majorHAnsi" w:hAnsiTheme="majorHAnsi"/>
        </w:rPr>
        <w:t>,</w:t>
      </w:r>
      <w:r w:rsidRPr="00F704B5">
        <w:rPr>
          <w:rFonts w:asciiTheme="majorHAnsi" w:hAnsiTheme="majorHAnsi"/>
        </w:rPr>
        <w:t xml:space="preserve"> the Blueprint will provide the WHI-participating insurers or payers a combined roster of WHI providers and practices.  The WHI-participating insurers or payers will use the WHI provider and practice roster information to calculate claims-based patient attributions of </w:t>
      </w:r>
      <w:r w:rsidRPr="00F704B5">
        <w:rPr>
          <w:rFonts w:asciiTheme="majorHAnsi" w:hAnsiTheme="majorHAnsi" w:cs="Arial"/>
        </w:rPr>
        <w:t>current active WHI patient</w:t>
      </w:r>
      <w:r>
        <w:rPr>
          <w:rFonts w:asciiTheme="majorHAnsi" w:hAnsiTheme="majorHAnsi" w:cs="Arial"/>
        </w:rPr>
        <w:t>s</w:t>
      </w:r>
      <w:r w:rsidRPr="00F704B5">
        <w:rPr>
          <w:rFonts w:asciiTheme="majorHAnsi" w:hAnsiTheme="majorHAnsi" w:cs="Arial"/>
        </w:rPr>
        <w:t xml:space="preserve">, </w:t>
      </w:r>
      <w:r w:rsidRPr="00F704B5">
        <w:rPr>
          <w:rFonts w:asciiTheme="majorHAnsi" w:hAnsiTheme="majorHAnsi"/>
        </w:rPr>
        <w:t>for each WHI practice using the specifications outlined in Appendix 7.</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1B0C">
        <w:rPr>
          <w:rFonts w:asciiTheme="majorHAnsi" w:hAnsiTheme="majorHAnsi" w:cs="Arial"/>
          <w:b/>
        </w:rPr>
        <w:t>Definition of a Current Active WHI Patient:</w:t>
      </w:r>
      <w:r w:rsidRPr="00F704B5">
        <w:rPr>
          <w:rFonts w:asciiTheme="majorHAnsi" w:hAnsiTheme="majorHAnsi" w:cs="Arial"/>
        </w:rPr>
        <w:t xml:space="preserve"> The patient must be female </w:t>
      </w:r>
      <w:r>
        <w:rPr>
          <w:rFonts w:asciiTheme="majorHAnsi" w:hAnsiTheme="majorHAnsi" w:cs="Arial"/>
        </w:rPr>
        <w:t xml:space="preserve">between the ages of </w:t>
      </w:r>
      <w:r w:rsidRPr="00F704B5">
        <w:rPr>
          <w:rFonts w:asciiTheme="majorHAnsi" w:hAnsiTheme="majorHAnsi" w:cs="Arial"/>
        </w:rPr>
        <w:t xml:space="preserve">15 and 44 (inclusive). The patient must have had a majority of their women’s preventive health visits in the WHI practice within the 24 months prior to the date that the attribution process is being conducted, in accordance with the algorithms presented in Appendix 7 (for practice self-reports) and Appendix 8 (for </w:t>
      </w:r>
      <w:r>
        <w:rPr>
          <w:rFonts w:asciiTheme="majorHAnsi" w:hAnsiTheme="majorHAnsi" w:cs="Arial"/>
        </w:rPr>
        <w:t xml:space="preserve">WHI-participating </w:t>
      </w:r>
      <w:r w:rsidRPr="00F704B5">
        <w:rPr>
          <w:rFonts w:asciiTheme="majorHAnsi" w:hAnsiTheme="majorHAnsi" w:cs="Arial"/>
        </w:rPr>
        <w:t>insurers). If a patient has an equal number of qualifying women’s preventive health visits at more than one WHI practice, then that patient will be attributed to the WHI practice with the most recent visit. Patient attributions for members of Blueprint WHI-participating self-insured plans will be included. Attribution</w:t>
      </w:r>
      <w:r>
        <w:rPr>
          <w:rFonts w:asciiTheme="majorHAnsi" w:hAnsiTheme="majorHAnsi" w:cs="Arial"/>
        </w:rPr>
        <w:t xml:space="preserve"> will</w:t>
      </w:r>
      <w:r w:rsidRPr="00F704B5">
        <w:rPr>
          <w:rFonts w:asciiTheme="majorHAnsi" w:hAnsiTheme="majorHAnsi" w:cs="Arial"/>
        </w:rPr>
        <w:t xml:space="preserve"> be refreshed at least quarterly.</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rPr>
      </w:pPr>
      <w:r>
        <w:rPr>
          <w:rFonts w:asciiTheme="majorHAnsi" w:hAnsiTheme="majorHAnsi"/>
          <w:b/>
        </w:rPr>
        <w:t xml:space="preserve">Insurers Reporting of Attribution: </w:t>
      </w:r>
      <w:r w:rsidRPr="00F704B5">
        <w:rPr>
          <w:rFonts w:asciiTheme="majorHAnsi" w:hAnsiTheme="majorHAnsi"/>
        </w:rPr>
        <w:t xml:space="preserve">Upon request of the practices, clinics, or their parent organizations, the WHI-participating insurers, or payers, will provide the list of attributed patients for review and reconciliation. </w:t>
      </w:r>
      <w:r w:rsidRPr="00F704B5">
        <w:rPr>
          <w:rFonts w:asciiTheme="majorHAnsi" w:hAnsiTheme="majorHAnsi" w:cs="Arial"/>
        </w:rPr>
        <w:t>Each</w:t>
      </w:r>
      <w:r w:rsidRPr="00F704B5">
        <w:rPr>
          <w:rFonts w:asciiTheme="majorHAnsi" w:hAnsiTheme="majorHAnsi"/>
        </w:rPr>
        <w:t xml:space="preserve"> WHI-participating insurer, or payer,</w:t>
      </w:r>
      <w:r w:rsidRPr="00F704B5">
        <w:rPr>
          <w:rFonts w:asciiTheme="majorHAnsi" w:hAnsiTheme="majorHAnsi" w:cs="Arial"/>
        </w:rPr>
        <w:t xml:space="preserve"> will send a list of the number of attributed patients to each WHI practice (or parent organization) when the attribution is first conducted and subsequently when it is recalculated. This process provides the opportunity for a WHI practice to reconcile differences with each of </w:t>
      </w:r>
      <w:r w:rsidRPr="00F704B5">
        <w:rPr>
          <w:rFonts w:asciiTheme="majorHAnsi" w:hAnsiTheme="majorHAnsi" w:cs="Arial"/>
        </w:rPr>
        <w:lastRenderedPageBreak/>
        <w:t>the</w:t>
      </w:r>
      <w:r w:rsidRPr="00F704B5">
        <w:rPr>
          <w:rFonts w:asciiTheme="majorHAnsi" w:hAnsiTheme="majorHAnsi"/>
        </w:rPr>
        <w:t xml:space="preserve"> WHI-participating insurers or payers</w:t>
      </w:r>
      <w:r w:rsidRPr="00F704B5">
        <w:rPr>
          <w:rFonts w:asciiTheme="majorHAnsi" w:hAnsiTheme="majorHAnsi" w:cs="Arial"/>
        </w:rPr>
        <w:t>.  To support an efficient and uninterrupted payment process, the</w:t>
      </w:r>
      <w:r w:rsidRPr="00F704B5">
        <w:rPr>
          <w:rFonts w:asciiTheme="majorHAnsi" w:hAnsiTheme="majorHAnsi"/>
        </w:rPr>
        <w:t xml:space="preserve"> WHI-participating insurer or payer</w:t>
      </w:r>
      <w:r w:rsidRPr="00F704B5">
        <w:rPr>
          <w:rFonts w:asciiTheme="majorHAnsi" w:hAnsiTheme="majorHAnsi" w:cs="Arial"/>
        </w:rPr>
        <w:t xml:space="preserve"> and practice should agree on the number of attributed patients within 30 days</w:t>
      </w:r>
      <w:r>
        <w:rPr>
          <w:rFonts w:asciiTheme="majorHAnsi" w:hAnsiTheme="majorHAnsi" w:cs="Arial"/>
        </w:rPr>
        <w:t xml:space="preserve"> of the delivery of the list</w:t>
      </w:r>
      <w:r w:rsidRPr="00F704B5">
        <w:rPr>
          <w:rFonts w:asciiTheme="majorHAnsi" w:hAnsiTheme="majorHAnsi" w:cs="Arial"/>
        </w:rPr>
        <w:t xml:space="preserve">.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04B5">
        <w:rPr>
          <w:rFonts w:asciiTheme="majorHAnsi" w:hAnsiTheme="majorHAnsi" w:cs="Arial"/>
        </w:rPr>
        <w:t xml:space="preserve">Each WHI-participating insurer or payer will also report attribution to the Blueprint.  At the beginning of each calendar quarter (generally within 15 days of the start of each calendar quarter), each WHI-participating insurer or payer will send the Blueprint a list of the counts of WHI-attributed patients and WHI practice PMPM payments made for the prior calendar quarter broken out by practice (including Blueprint Practice ID) and payment month.  This reporting will enable payment verification and rollups across </w:t>
      </w:r>
      <w:r>
        <w:rPr>
          <w:rFonts w:asciiTheme="majorHAnsi" w:hAnsiTheme="majorHAnsi" w:cs="Arial"/>
        </w:rPr>
        <w:t xml:space="preserve">WHI-participating </w:t>
      </w:r>
      <w:r w:rsidRPr="00F704B5">
        <w:rPr>
          <w:rFonts w:asciiTheme="majorHAnsi" w:hAnsiTheme="majorHAnsi" w:cs="Arial"/>
        </w:rPr>
        <w:t xml:space="preserve">payers at the practice and Health Service Area (HSA) levels.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rPr>
      </w:pPr>
      <w:r w:rsidRPr="00F704B5">
        <w:rPr>
          <w:rFonts w:asciiTheme="majorHAnsi" w:hAnsiTheme="majorHAnsi"/>
        </w:rPr>
        <w:t xml:space="preserve">The attribution methodology found in Appendix 7 (for practice self-reports) and Appendix 8 (for </w:t>
      </w:r>
      <w:r>
        <w:rPr>
          <w:rFonts w:asciiTheme="majorHAnsi" w:hAnsiTheme="majorHAnsi"/>
        </w:rPr>
        <w:t xml:space="preserve">WHI-participating </w:t>
      </w:r>
      <w:r w:rsidRPr="00F704B5">
        <w:rPr>
          <w:rFonts w:asciiTheme="majorHAnsi" w:hAnsiTheme="majorHAnsi"/>
        </w:rPr>
        <w:t>insurers) are the current models generated in collaboration with the Women’s Health Initiative Payment Implementation Work Group, and approved by consensus of the Blueprint Executive Committee.</w:t>
      </w:r>
      <w:r w:rsidRPr="00F704B5">
        <w:rPr>
          <w:rFonts w:asciiTheme="majorHAnsi" w:hAnsiTheme="majorHAnsi"/>
          <w:b/>
        </w:rPr>
        <w:t xml:space="preserve">  </w:t>
      </w:r>
      <w:r w:rsidRPr="00F704B5">
        <w:rPr>
          <w:rFonts w:asciiTheme="majorHAnsi" w:hAnsiTheme="majorHAnsi"/>
        </w:rPr>
        <w:t>The attribution methodology can be revised after seeking input from the Blueprint’s Payment Implementation Work Group</w:t>
      </w:r>
      <w:r>
        <w:rPr>
          <w:rFonts w:asciiTheme="majorHAnsi" w:hAnsiTheme="majorHAnsi"/>
        </w:rPr>
        <w:t xml:space="preserve"> </w:t>
      </w:r>
      <w:r w:rsidRPr="00F704B5">
        <w:rPr>
          <w:rFonts w:asciiTheme="majorHAnsi" w:hAnsiTheme="majorHAnsi"/>
        </w:rPr>
        <w:t>and Executive Committee.  The WHI practice PMPM amounts can be revised by the Blueprint Director after seeking input from the Blueprint’s Payment Implementation Work Group and Executive Committee.</w:t>
      </w:r>
    </w:p>
    <w:p w:rsidR="001827AF" w:rsidRPr="00F704B5" w:rsidRDefault="001827AF" w:rsidP="001827AF">
      <w:pPr>
        <w:rPr>
          <w:rFonts w:asciiTheme="majorHAnsi" w:hAnsiTheme="majorHAnsi"/>
        </w:rPr>
      </w:pPr>
    </w:p>
    <w:p w:rsidR="001827AF" w:rsidRPr="00F704B5" w:rsidRDefault="001827AF" w:rsidP="006E05C6">
      <w:pPr>
        <w:pStyle w:val="Heading3"/>
      </w:pPr>
      <w:bookmarkStart w:id="129" w:name="_Toc521488613"/>
      <w:r w:rsidRPr="00F704B5">
        <w:t>WHI Practice P</w:t>
      </w:r>
      <w:r>
        <w:t>M</w:t>
      </w:r>
      <w:r w:rsidRPr="00F704B5">
        <w:t>PM Payment</w:t>
      </w:r>
      <w:bookmarkEnd w:id="129"/>
      <w:r w:rsidRPr="00F704B5">
        <w:t xml:space="preserve"> </w:t>
      </w:r>
    </w:p>
    <w:p w:rsidR="001827AF" w:rsidRPr="00F704B5" w:rsidRDefault="001827AF" w:rsidP="001827AF">
      <w:pPr>
        <w:rPr>
          <w:rFonts w:asciiTheme="majorHAnsi" w:hAnsiTheme="majorHAnsi"/>
        </w:rPr>
      </w:pPr>
      <w:r w:rsidRPr="00F704B5">
        <w:rPr>
          <w:rFonts w:asciiTheme="majorHAnsi" w:hAnsiTheme="majorHAnsi"/>
        </w:rPr>
        <w:t xml:space="preserve">The WHI practice PMPM payment </w:t>
      </w:r>
      <w:r>
        <w:rPr>
          <w:rFonts w:asciiTheme="majorHAnsi" w:hAnsiTheme="majorHAnsi"/>
        </w:rPr>
        <w:t>provides operational support to</w:t>
      </w:r>
      <w:r w:rsidRPr="00F704B5">
        <w:rPr>
          <w:rFonts w:asciiTheme="majorHAnsi" w:hAnsiTheme="majorHAnsi"/>
        </w:rPr>
        <w:t xml:space="preserve"> a women’s health preventive care practice or clinic</w:t>
      </w:r>
      <w:r>
        <w:rPr>
          <w:rFonts w:asciiTheme="majorHAnsi" w:hAnsiTheme="majorHAnsi"/>
        </w:rPr>
        <w:t>,</w:t>
      </w:r>
      <w:r w:rsidRPr="00F704B5">
        <w:rPr>
          <w:rFonts w:asciiTheme="majorHAnsi" w:hAnsiTheme="majorHAnsi"/>
        </w:rPr>
        <w:t xml:space="preserve"> including enhancing their scope of practice by implementing the WHI Strategies. The total capitated payment to women’s health providers is based on </w:t>
      </w:r>
      <w:r>
        <w:rPr>
          <w:rFonts w:asciiTheme="majorHAnsi" w:hAnsiTheme="majorHAnsi"/>
        </w:rPr>
        <w:t>successful implementation of</w:t>
      </w:r>
      <w:r w:rsidRPr="00F704B5">
        <w:rPr>
          <w:rFonts w:asciiTheme="majorHAnsi" w:hAnsiTheme="majorHAnsi"/>
        </w:rPr>
        <w:t xml:space="preserve"> the WHI Strategies in the first year with the addition of performance-based quality components of the payment in subsequent years. The WHI-participating insurer or payer will provide the enhanced WHI practice PMPM payment for all WHI-attributed patients in the WHI practice.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To calculate the total amount of the WHI practice PMPM payment for each practice, the WHI-participating insurer or payer will multiply the number of WHI-attributed patients in the practice by the WHI practice PMPM amount.</w:t>
      </w:r>
    </w:p>
    <w:p w:rsidR="001827AF" w:rsidRPr="00F704B5" w:rsidRDefault="001827AF" w:rsidP="001827AF">
      <w:pPr>
        <w:rPr>
          <w:rFonts w:asciiTheme="majorHAnsi" w:hAnsiTheme="majorHAnsi"/>
        </w:rPr>
      </w:pPr>
    </w:p>
    <w:p w:rsidR="00A52973" w:rsidRPr="00F704B5" w:rsidRDefault="001827AF" w:rsidP="001827AF">
      <w:pPr>
        <w:rPr>
          <w:rFonts w:asciiTheme="majorHAnsi" w:hAnsiTheme="majorHAnsi"/>
        </w:rPr>
      </w:pPr>
      <w:r w:rsidRPr="00F704B5">
        <w:rPr>
          <w:rFonts w:asciiTheme="majorHAnsi" w:hAnsiTheme="majorHAnsi"/>
        </w:rPr>
        <w:t xml:space="preserve">For the first twelve (12) months of participation in the program, WHI practices will be paid a $1.25 PMPM maximum capitated payment. Starting the second year of participation in the program, WHI practices will be paid a base payment of $1.00 PMPM, based on their self-attestation of implementing the WHI Strategies. Additionally, a WHI practice could earn a quality payment of up to $0.50 PMPM based on performance measures. </w:t>
      </w:r>
      <w:r w:rsidR="00A52973">
        <w:rPr>
          <w:rFonts w:asciiTheme="majorHAnsi" w:hAnsiTheme="majorHAnsi"/>
        </w:rPr>
        <w:t xml:space="preserve"> The quality component of the WHI PMPM contains t</w:t>
      </w:r>
      <w:r w:rsidR="00A52973">
        <w:rPr>
          <w:rFonts w:ascii="Times New Roman" w:hAnsi="Times New Roman"/>
        </w:rPr>
        <w:t>hree payment levels u</w:t>
      </w:r>
      <w:r w:rsidR="00A52973" w:rsidRPr="007678FC">
        <w:rPr>
          <w:rFonts w:ascii="Times New Roman" w:hAnsi="Times New Roman"/>
        </w:rPr>
        <w:t>p to $ 0.</w:t>
      </w:r>
      <w:r w:rsidR="00A52973">
        <w:rPr>
          <w:rFonts w:ascii="Times New Roman" w:hAnsi="Times New Roman"/>
        </w:rPr>
        <w:t>50</w:t>
      </w:r>
      <w:r w:rsidR="00A52973" w:rsidRPr="007678FC">
        <w:rPr>
          <w:rFonts w:ascii="Times New Roman" w:hAnsi="Times New Roman"/>
        </w:rPr>
        <w:t xml:space="preserve"> PPPM </w:t>
      </w:r>
      <w:r w:rsidR="00A52973">
        <w:rPr>
          <w:rFonts w:ascii="Times New Roman" w:hAnsi="Times New Roman"/>
        </w:rPr>
        <w:t>based on total score of the three quality performance measures. Points for each measure are achieved through meeting or surpassing benchmarks and through improving from one twelve-month period to the next twelve-month period. Scores are reassessed every six months.</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lastRenderedPageBreak/>
        <w:t xml:space="preserve">The women’s health preventive services model for </w:t>
      </w:r>
      <w:r>
        <w:rPr>
          <w:rFonts w:asciiTheme="majorHAnsi" w:hAnsiTheme="majorHAnsi"/>
        </w:rPr>
        <w:t>WHI-participating</w:t>
      </w:r>
      <w:r w:rsidRPr="00F704B5">
        <w:rPr>
          <w:rFonts w:asciiTheme="majorHAnsi" w:hAnsiTheme="majorHAnsi"/>
        </w:rPr>
        <w:t xml:space="preserve"> insurers includes the following elements: </w:t>
      </w:r>
    </w:p>
    <w:p w:rsidR="001827AF" w:rsidRPr="00F704B5" w:rsidRDefault="001827AF" w:rsidP="00515635">
      <w:pPr>
        <w:pStyle w:val="ListParagraph"/>
        <w:numPr>
          <w:ilvl w:val="0"/>
          <w:numId w:val="26"/>
        </w:numPr>
        <w:rPr>
          <w:rFonts w:asciiTheme="majorHAnsi" w:hAnsiTheme="majorHAnsi"/>
        </w:rPr>
      </w:pPr>
      <w:r w:rsidRPr="00F704B5">
        <w:rPr>
          <w:rFonts w:asciiTheme="majorHAnsi" w:hAnsiTheme="majorHAnsi"/>
        </w:rPr>
        <w:t>Base Component: First year of participation (Pilot Year) = $1.25; Subsequent Years = $1.00</w:t>
      </w:r>
    </w:p>
    <w:p w:rsidR="001827AF" w:rsidRPr="00F704B5" w:rsidRDefault="001827AF" w:rsidP="00515635">
      <w:pPr>
        <w:pStyle w:val="ListParagraph"/>
        <w:numPr>
          <w:ilvl w:val="1"/>
          <w:numId w:val="26"/>
        </w:numPr>
        <w:rPr>
          <w:rFonts w:asciiTheme="majorHAnsi" w:hAnsiTheme="majorHAnsi"/>
        </w:rPr>
      </w:pPr>
      <w:r w:rsidRPr="00F704B5">
        <w:rPr>
          <w:rFonts w:asciiTheme="majorHAnsi" w:hAnsiTheme="majorHAnsi"/>
        </w:rPr>
        <w:t>Requires successful completion of the self-attestation eligibility document</w:t>
      </w:r>
    </w:p>
    <w:p w:rsidR="001827AF" w:rsidRPr="00F704B5" w:rsidRDefault="001827AF" w:rsidP="00515635">
      <w:pPr>
        <w:pStyle w:val="ListParagraph"/>
        <w:numPr>
          <w:ilvl w:val="1"/>
          <w:numId w:val="26"/>
        </w:numPr>
        <w:rPr>
          <w:rFonts w:asciiTheme="majorHAnsi" w:hAnsiTheme="majorHAnsi"/>
        </w:rPr>
      </w:pPr>
      <w:r w:rsidRPr="00F704B5">
        <w:rPr>
          <w:rFonts w:asciiTheme="majorHAnsi" w:hAnsiTheme="majorHAnsi"/>
        </w:rPr>
        <w:t>Requires successful implementation of the WHI Strategies</w:t>
      </w:r>
      <w:r w:rsidRPr="00F704B5">
        <w:rPr>
          <w:rFonts w:asciiTheme="majorHAnsi" w:hAnsiTheme="majorHAnsi" w:cs="Arial"/>
        </w:rPr>
        <w:t xml:space="preserve">, outlined in section </w:t>
      </w:r>
      <w:r w:rsidRPr="00F704B5">
        <w:rPr>
          <w:rFonts w:asciiTheme="majorHAnsi" w:hAnsiTheme="majorHAnsi" w:cs="Arial"/>
        </w:rPr>
        <w:fldChar w:fldCharType="begin"/>
      </w:r>
      <w:r w:rsidRPr="00F704B5">
        <w:rPr>
          <w:rFonts w:asciiTheme="majorHAnsi" w:hAnsiTheme="majorHAnsi" w:cs="Arial"/>
        </w:rPr>
        <w:instrText xml:space="preserve"> REF _Ref479012870 \r \h </w:instrText>
      </w:r>
      <w:r w:rsidRPr="00F704B5">
        <w:rPr>
          <w:rFonts w:asciiTheme="majorHAnsi" w:hAnsiTheme="majorHAnsi" w:cs="Arial"/>
        </w:rPr>
      </w:r>
      <w:r w:rsidRPr="00F704B5">
        <w:rPr>
          <w:rFonts w:asciiTheme="majorHAnsi" w:hAnsiTheme="majorHAnsi" w:cs="Arial"/>
        </w:rPr>
        <w:fldChar w:fldCharType="separate"/>
      </w:r>
      <w:r w:rsidR="00143985">
        <w:rPr>
          <w:rFonts w:asciiTheme="majorHAnsi" w:hAnsiTheme="majorHAnsi" w:cs="Arial"/>
        </w:rPr>
        <w:t>6.2</w:t>
      </w:r>
      <w:r w:rsidRPr="00F704B5">
        <w:rPr>
          <w:rFonts w:asciiTheme="majorHAnsi" w:hAnsiTheme="majorHAnsi" w:cs="Arial"/>
        </w:rPr>
        <w:fldChar w:fldCharType="end"/>
      </w:r>
      <w:r w:rsidRPr="00F704B5">
        <w:rPr>
          <w:rFonts w:asciiTheme="majorHAnsi" w:hAnsiTheme="majorHAnsi" w:cs="Arial"/>
        </w:rPr>
        <w:t xml:space="preserve"> of this document</w:t>
      </w:r>
      <w:r w:rsidRPr="00F704B5">
        <w:rPr>
          <w:rFonts w:asciiTheme="majorHAnsi" w:hAnsiTheme="majorHAnsi"/>
        </w:rPr>
        <w:br/>
        <w:t xml:space="preserve">  </w:t>
      </w:r>
    </w:p>
    <w:p w:rsidR="001827AF" w:rsidRPr="00F704B5" w:rsidRDefault="001827AF" w:rsidP="00515635">
      <w:pPr>
        <w:pStyle w:val="ListParagraph"/>
        <w:numPr>
          <w:ilvl w:val="0"/>
          <w:numId w:val="26"/>
        </w:numPr>
        <w:rPr>
          <w:rFonts w:asciiTheme="majorHAnsi" w:hAnsiTheme="majorHAnsi"/>
        </w:rPr>
      </w:pPr>
      <w:r w:rsidRPr="00F704B5">
        <w:rPr>
          <w:rFonts w:asciiTheme="majorHAnsi" w:hAnsiTheme="majorHAnsi"/>
        </w:rPr>
        <w:t>Quality Performance Component (Year 2 and subsequent years):</w:t>
      </w:r>
    </w:p>
    <w:p w:rsidR="00A52973" w:rsidRDefault="001827AF" w:rsidP="00515635">
      <w:pPr>
        <w:pStyle w:val="ListParagraph"/>
        <w:numPr>
          <w:ilvl w:val="1"/>
          <w:numId w:val="26"/>
        </w:numPr>
        <w:rPr>
          <w:rFonts w:asciiTheme="majorHAnsi" w:hAnsiTheme="majorHAnsi"/>
        </w:rPr>
      </w:pPr>
      <w:r w:rsidRPr="00F704B5">
        <w:rPr>
          <w:rFonts w:asciiTheme="majorHAnsi" w:hAnsiTheme="majorHAnsi"/>
        </w:rPr>
        <w:t xml:space="preserve">Up to $ 0.50 </w:t>
      </w:r>
      <w:r>
        <w:rPr>
          <w:rFonts w:asciiTheme="majorHAnsi" w:hAnsiTheme="majorHAnsi"/>
        </w:rPr>
        <w:t>PMPM</w:t>
      </w:r>
    </w:p>
    <w:p w:rsidR="001827AF" w:rsidRPr="00F704B5" w:rsidRDefault="00A52973" w:rsidP="00515635">
      <w:pPr>
        <w:pStyle w:val="ListParagraph"/>
        <w:numPr>
          <w:ilvl w:val="1"/>
          <w:numId w:val="26"/>
        </w:numPr>
        <w:rPr>
          <w:rFonts w:asciiTheme="majorHAnsi" w:hAnsiTheme="majorHAnsi"/>
        </w:rPr>
      </w:pPr>
      <w:r>
        <w:rPr>
          <w:rFonts w:asciiTheme="majorHAnsi" w:hAnsiTheme="majorHAnsi"/>
        </w:rPr>
        <w:t>T</w:t>
      </w:r>
      <w:r>
        <w:rPr>
          <w:rFonts w:ascii="Times New Roman" w:hAnsi="Times New Roman"/>
        </w:rPr>
        <w:t>hree payment levels u</w:t>
      </w:r>
      <w:r w:rsidRPr="007678FC">
        <w:rPr>
          <w:rFonts w:ascii="Times New Roman" w:hAnsi="Times New Roman"/>
        </w:rPr>
        <w:t>p to $ 0.</w:t>
      </w:r>
      <w:r>
        <w:rPr>
          <w:rFonts w:ascii="Times New Roman" w:hAnsi="Times New Roman"/>
        </w:rPr>
        <w:t>50</w:t>
      </w:r>
      <w:r w:rsidRPr="007678FC">
        <w:rPr>
          <w:rFonts w:ascii="Times New Roman" w:hAnsi="Times New Roman"/>
        </w:rPr>
        <w:t xml:space="preserve"> PPPM </w:t>
      </w:r>
      <w:r>
        <w:rPr>
          <w:rFonts w:ascii="Times New Roman" w:hAnsi="Times New Roman"/>
        </w:rPr>
        <w:t>based on total score of the three quality performance measures. Points for each measure are achieved through meeting or surpassing benchmarks and through improving from one twelve-month period to the next twelve-month period. Scores are reassessed every six months.</w:t>
      </w:r>
      <w:r w:rsidR="001827AF" w:rsidRPr="00F704B5">
        <w:rPr>
          <w:rFonts w:asciiTheme="majorHAnsi" w:hAnsiTheme="majorHAnsi"/>
        </w:rPr>
        <w:t xml:space="preserve"> </w:t>
      </w:r>
      <w:r w:rsidR="001827AF" w:rsidRPr="00F704B5">
        <w:rPr>
          <w:rFonts w:asciiTheme="majorHAnsi" w:hAnsiTheme="majorHAnsi"/>
        </w:rPr>
        <w:br/>
      </w:r>
    </w:p>
    <w:p w:rsidR="001827AF" w:rsidRPr="00F704B5" w:rsidRDefault="001827AF" w:rsidP="00515635">
      <w:pPr>
        <w:pStyle w:val="ListParagraph"/>
        <w:numPr>
          <w:ilvl w:val="0"/>
          <w:numId w:val="26"/>
        </w:numPr>
        <w:rPr>
          <w:rFonts w:asciiTheme="majorHAnsi" w:hAnsiTheme="majorHAnsi"/>
        </w:rPr>
      </w:pPr>
      <w:r w:rsidRPr="00F704B5">
        <w:rPr>
          <w:rFonts w:asciiTheme="majorHAnsi" w:hAnsiTheme="majorHAnsi"/>
        </w:rPr>
        <w:t>Total Payment in Year 1 = $1.25</w:t>
      </w:r>
    </w:p>
    <w:p w:rsidR="001827AF" w:rsidRPr="00F704B5" w:rsidRDefault="001827AF" w:rsidP="00515635">
      <w:pPr>
        <w:pStyle w:val="ListParagraph"/>
        <w:numPr>
          <w:ilvl w:val="0"/>
          <w:numId w:val="26"/>
        </w:numPr>
        <w:rPr>
          <w:rFonts w:asciiTheme="majorHAnsi" w:hAnsiTheme="majorHAnsi"/>
        </w:rPr>
      </w:pPr>
      <w:r w:rsidRPr="00F704B5">
        <w:rPr>
          <w:rFonts w:asciiTheme="majorHAnsi" w:hAnsiTheme="majorHAnsi"/>
        </w:rPr>
        <w:t xml:space="preserve">Total Payment in Subsequent Years = $1.00 + Quality </w:t>
      </w:r>
      <w:r w:rsidR="00A52973">
        <w:rPr>
          <w:rFonts w:asciiTheme="majorHAnsi" w:hAnsiTheme="majorHAnsi"/>
        </w:rPr>
        <w:t>Component</w:t>
      </w:r>
    </w:p>
    <w:p w:rsidR="001827AF" w:rsidRPr="00F704B5" w:rsidRDefault="001827AF" w:rsidP="00515635">
      <w:pPr>
        <w:pStyle w:val="ListParagraph"/>
        <w:numPr>
          <w:ilvl w:val="0"/>
          <w:numId w:val="26"/>
        </w:numPr>
        <w:rPr>
          <w:rFonts w:asciiTheme="majorHAnsi" w:hAnsiTheme="majorHAnsi"/>
        </w:rPr>
      </w:pPr>
      <w:r w:rsidRPr="00F704B5">
        <w:rPr>
          <w:rFonts w:asciiTheme="majorHAnsi" w:hAnsiTheme="majorHAnsi"/>
        </w:rPr>
        <w:t>Total Payment in Subsequent Years ranges from $1.00 to $1.50 PMPM</w:t>
      </w:r>
    </w:p>
    <w:p w:rsidR="001827AF" w:rsidRPr="00F704B5" w:rsidRDefault="001827AF" w:rsidP="001827AF">
      <w:pPr>
        <w:pStyle w:val="ListParagraph"/>
        <w:rPr>
          <w:rFonts w:asciiTheme="majorHAnsi" w:hAnsiTheme="majorHAnsi"/>
        </w:rPr>
      </w:pPr>
    </w:p>
    <w:p w:rsidR="001827AF" w:rsidRPr="00F704B5" w:rsidRDefault="001827AF" w:rsidP="001827AF">
      <w:pPr>
        <w:rPr>
          <w:rFonts w:asciiTheme="majorHAnsi" w:hAnsiTheme="majorHAnsi" w:cs="Arial"/>
        </w:rPr>
      </w:pPr>
      <w:r w:rsidRPr="00F704B5">
        <w:rPr>
          <w:rFonts w:asciiTheme="majorHAnsi" w:hAnsiTheme="majorHAnsi"/>
          <w:b/>
        </w:rPr>
        <w:t>Figure 3.  Women’s Health Initiative (WHI) Practice Payments</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04B5">
        <w:rPr>
          <w:rFonts w:asciiTheme="majorHAnsi" w:hAnsiTheme="majorHAnsi"/>
          <w:noProof/>
        </w:rPr>
        <w:lastRenderedPageBreak/>
        <w:drawing>
          <wp:inline distT="0" distB="0" distL="0" distR="0" wp14:anchorId="03F4A69D" wp14:editId="5BA89699">
            <wp:extent cx="5657850" cy="4733924"/>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5E48DA-11D0-47B4-8BC6-35F3E69FC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827AF" w:rsidRPr="00F704B5" w:rsidRDefault="001827AF" w:rsidP="001827AF">
      <w:pPr>
        <w:rPr>
          <w:rFonts w:asciiTheme="majorHAnsi" w:hAnsiTheme="majorHAnsi"/>
        </w:rPr>
      </w:pPr>
      <w:r w:rsidRPr="00F704B5">
        <w:rPr>
          <w:rFonts w:asciiTheme="majorHAnsi" w:hAnsiTheme="majorHAnsi" w:cs="Arial"/>
        </w:rPr>
        <w:t xml:space="preserve">WHI practice PMPM payments will be sent directly to the practice, clinic, or parent organization. Payment for new practices or practices rejoining WHI will be effective on the first day of the month following the date when the Blueprint </w:t>
      </w:r>
      <w:r>
        <w:rPr>
          <w:rFonts w:asciiTheme="majorHAnsi" w:hAnsiTheme="majorHAnsi" w:cs="Arial"/>
        </w:rPr>
        <w:t>confirms</w:t>
      </w:r>
      <w:r w:rsidRPr="00F704B5">
        <w:rPr>
          <w:rFonts w:asciiTheme="majorHAnsi" w:hAnsiTheme="majorHAnsi" w:cs="Arial"/>
        </w:rPr>
        <w:t xml:space="preserve"> receipt of the self-attestation document to all WHI-participating insurers or payers. Changes in payment resulting from subsequent changes in performance on the quality-of-care measures and/or the utilization measure will be implemented by all WHI-participating insurers or payers on the first day of the month after scores are received</w:t>
      </w:r>
      <w:r>
        <w:rPr>
          <w:rFonts w:asciiTheme="majorHAnsi" w:hAnsiTheme="majorHAnsi" w:cs="Arial"/>
        </w:rPr>
        <w:t xml:space="preserve"> from the Blueprint.</w:t>
      </w:r>
      <w:r w:rsidRPr="00F704B5">
        <w:rPr>
          <w:rFonts w:asciiTheme="majorHAnsi" w:hAnsiTheme="majorHAnsi" w:cs="Arial"/>
        </w:rPr>
        <w:t xml:space="preserve"> </w:t>
      </w:r>
      <w:r w:rsidRPr="00F704B5">
        <w:rPr>
          <w:rFonts w:asciiTheme="majorHAnsi" w:hAnsiTheme="majorHAnsi"/>
        </w:rPr>
        <w:t xml:space="preserve"> </w:t>
      </w:r>
    </w:p>
    <w:p w:rsidR="001827AF" w:rsidRPr="00F704B5" w:rsidRDefault="001827AF" w:rsidP="001827AF">
      <w:pPr>
        <w:rPr>
          <w:rFonts w:asciiTheme="majorHAnsi" w:hAnsiTheme="majorHAnsi" w:cs="Arial"/>
        </w:rPr>
      </w:pPr>
    </w:p>
    <w:p w:rsidR="001827AF" w:rsidRPr="00F704B5" w:rsidRDefault="001827AF" w:rsidP="006E05C6">
      <w:pPr>
        <w:pStyle w:val="Heading3"/>
      </w:pPr>
      <w:bookmarkStart w:id="130" w:name="_Toc521488614"/>
      <w:r w:rsidRPr="00F704B5">
        <w:t>Supplemental Community Health Team (CHT) Payments</w:t>
      </w:r>
      <w:bookmarkEnd w:id="130"/>
    </w:p>
    <w:p w:rsidR="001827AF" w:rsidRPr="00F704B5" w:rsidRDefault="001827AF" w:rsidP="001827AF">
      <w:pPr>
        <w:rPr>
          <w:rFonts w:asciiTheme="majorHAnsi" w:hAnsiTheme="majorHAnsi" w:cs="Arial"/>
        </w:rPr>
      </w:pPr>
      <w:r w:rsidRPr="00F704B5">
        <w:rPr>
          <w:rFonts w:asciiTheme="majorHAnsi" w:hAnsiTheme="majorHAnsi" w:cs="Arial"/>
        </w:rPr>
        <w:t xml:space="preserve">Supplemental CHT payments </w:t>
      </w:r>
      <w:r>
        <w:rPr>
          <w:rFonts w:asciiTheme="majorHAnsi" w:hAnsiTheme="majorHAnsi" w:cs="Arial"/>
        </w:rPr>
        <w:t>allow the CHT to hire</w:t>
      </w:r>
      <w:r w:rsidRPr="00F704B5">
        <w:rPr>
          <w:rFonts w:asciiTheme="majorHAnsi" w:hAnsiTheme="majorHAnsi" w:cs="Arial"/>
        </w:rPr>
        <w:t xml:space="preserve"> licensed mental health professionals to work in WHI practices.  The WHI-participating insurers or payers will share the costs associated with the supplemental CHT staffing and will send their share of CHT costs to the Administrative </w:t>
      </w:r>
      <w:r>
        <w:rPr>
          <w:rFonts w:asciiTheme="majorHAnsi" w:hAnsiTheme="majorHAnsi" w:cs="Arial"/>
        </w:rPr>
        <w:t>E</w:t>
      </w:r>
      <w:r w:rsidRPr="00F704B5">
        <w:rPr>
          <w:rFonts w:asciiTheme="majorHAnsi" w:hAnsiTheme="majorHAnsi" w:cs="Arial"/>
        </w:rPr>
        <w:t>ntity in each HSA that are responsible for hiring CHT members.</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04B5">
        <w:rPr>
          <w:rFonts w:asciiTheme="majorHAnsi" w:hAnsiTheme="majorHAnsi" w:cs="Arial"/>
        </w:rPr>
        <w:t xml:space="preserve">Supplemental CHT payments are based on the population of attributed WHI patients per month with the inclusion of a floor of 0.5 full-time equivalent CHT member per practice for </w:t>
      </w:r>
      <w:r w:rsidRPr="00F704B5">
        <w:rPr>
          <w:rFonts w:asciiTheme="majorHAnsi" w:hAnsiTheme="majorHAnsi" w:cs="Arial"/>
        </w:rPr>
        <w:lastRenderedPageBreak/>
        <w:t>smaller practices.</w:t>
      </w:r>
      <w:r w:rsidRPr="00F704B5">
        <w:rPr>
          <w:rStyle w:val="FootnoteReference"/>
          <w:rFonts w:asciiTheme="majorHAnsi" w:hAnsiTheme="majorHAnsi" w:cs="Arial"/>
        </w:rPr>
        <w:footnoteReference w:id="5"/>
      </w:r>
      <w:r w:rsidRPr="00F704B5">
        <w:rPr>
          <w:rFonts w:asciiTheme="majorHAnsi" w:hAnsiTheme="majorHAnsi" w:cs="Arial"/>
        </w:rPr>
        <w:t xml:space="preserve">  To calculate the total amount of the WHI CHT PMPM payment for each CHT Administrative Entity, the WHI-participating insurer or payer will multiply the number of WHI-attributed patients in the practice by the WHI CHT PMPM amount. WHI-participating insurers or payers will pay $5.42 per payer claims-attributed member per month (PMPM).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Pr>
          <w:rFonts w:asciiTheme="majorHAnsi" w:hAnsiTheme="majorHAnsi" w:cs="Arial"/>
          <w:b/>
        </w:rPr>
        <w:t xml:space="preserve">CHT </w:t>
      </w:r>
      <w:r w:rsidRPr="00F704B5">
        <w:rPr>
          <w:rFonts w:asciiTheme="majorHAnsi" w:hAnsiTheme="majorHAnsi" w:cs="Arial"/>
          <w:b/>
        </w:rPr>
        <w:t xml:space="preserve">Floor: </w:t>
      </w:r>
      <w:r w:rsidRPr="00F704B5">
        <w:rPr>
          <w:rFonts w:asciiTheme="majorHAnsi" w:hAnsiTheme="majorHAnsi" w:cs="Arial"/>
        </w:rPr>
        <w:t>For practice</w:t>
      </w:r>
      <w:r>
        <w:rPr>
          <w:rFonts w:asciiTheme="majorHAnsi" w:hAnsiTheme="majorHAnsi" w:cs="Arial"/>
        </w:rPr>
        <w:t>s</w:t>
      </w:r>
      <w:r w:rsidRPr="00F704B5">
        <w:rPr>
          <w:rFonts w:asciiTheme="majorHAnsi" w:hAnsiTheme="majorHAnsi" w:cs="Arial"/>
        </w:rPr>
        <w:t xml:space="preserve"> with at least</w:t>
      </w:r>
      <w:r>
        <w:rPr>
          <w:rFonts w:asciiTheme="majorHAnsi" w:hAnsiTheme="majorHAnsi" w:cs="Arial"/>
        </w:rPr>
        <w:t xml:space="preserve"> one (</w:t>
      </w:r>
      <w:r w:rsidRPr="00F704B5">
        <w:rPr>
          <w:rFonts w:asciiTheme="majorHAnsi" w:hAnsiTheme="majorHAnsi" w:cs="Arial"/>
        </w:rPr>
        <w:t>1</w:t>
      </w:r>
      <w:r>
        <w:rPr>
          <w:rFonts w:asciiTheme="majorHAnsi" w:hAnsiTheme="majorHAnsi" w:cs="Arial"/>
        </w:rPr>
        <w:t>)</w:t>
      </w:r>
      <w:r w:rsidRPr="00F704B5">
        <w:rPr>
          <w:rFonts w:asciiTheme="majorHAnsi" w:hAnsiTheme="majorHAnsi" w:cs="Arial"/>
        </w:rPr>
        <w:t xml:space="preserve"> full-time equivalent women’s health provider and less than 600 attributed current active WHI patients</w:t>
      </w:r>
      <w:r>
        <w:rPr>
          <w:rFonts w:asciiTheme="majorHAnsi" w:hAnsiTheme="majorHAnsi" w:cs="Arial"/>
        </w:rPr>
        <w:t>,</w:t>
      </w:r>
      <w:r w:rsidRPr="00F704B5">
        <w:rPr>
          <w:rFonts w:asciiTheme="majorHAnsi" w:hAnsiTheme="majorHAnsi" w:cs="Arial"/>
        </w:rPr>
        <w:t xml:space="preserve"> a </w:t>
      </w:r>
      <w:r>
        <w:rPr>
          <w:rFonts w:asciiTheme="majorHAnsi" w:hAnsiTheme="majorHAnsi" w:cs="Arial"/>
        </w:rPr>
        <w:t xml:space="preserve">CHT </w:t>
      </w:r>
      <w:r w:rsidRPr="00F704B5">
        <w:rPr>
          <w:rFonts w:asciiTheme="majorHAnsi" w:hAnsiTheme="majorHAnsi" w:cs="Arial"/>
        </w:rPr>
        <w:t>floor or minimum CHT payment of $3,250 monthly (or $39,000 annually) was established with the intent of funding at least 0.5 full-time equivalent community health team member per practice</w:t>
      </w:r>
      <w:r>
        <w:rPr>
          <w:rFonts w:asciiTheme="majorHAnsi" w:hAnsiTheme="majorHAnsi" w:cs="Arial"/>
        </w:rPr>
        <w:t xml:space="preserve">. For practices who are receiving payments based on the CHT floor, </w:t>
      </w:r>
      <w:r w:rsidRPr="00F704B5">
        <w:rPr>
          <w:rFonts w:asciiTheme="majorHAnsi" w:hAnsiTheme="majorHAnsi"/>
        </w:rPr>
        <w:t>WHI-participating insurers or payers will share in the cost</w:t>
      </w:r>
      <w:r>
        <w:rPr>
          <w:rFonts w:asciiTheme="majorHAnsi" w:hAnsiTheme="majorHAnsi"/>
        </w:rPr>
        <w:t xml:space="preserve"> of the monthly payment of $3,250</w:t>
      </w:r>
      <w:r w:rsidRPr="00F704B5">
        <w:rPr>
          <w:rFonts w:asciiTheme="majorHAnsi" w:hAnsiTheme="majorHAnsi"/>
        </w:rPr>
        <w:t xml:space="preserve">, proportional to their share of the WHI </w:t>
      </w:r>
      <w:r>
        <w:rPr>
          <w:rFonts w:asciiTheme="majorHAnsi" w:hAnsiTheme="majorHAnsi"/>
        </w:rPr>
        <w:t xml:space="preserve">attributed </w:t>
      </w:r>
      <w:r w:rsidRPr="00F704B5">
        <w:rPr>
          <w:rFonts w:asciiTheme="majorHAnsi" w:hAnsiTheme="majorHAnsi"/>
        </w:rPr>
        <w:t xml:space="preserve">patient population (claims-attributed total unique WHI patients).  WHI-participating insurer or payer proportions will be derived retrospectively from the prior quarter WHI practices’ attribution. Practices that have less than </w:t>
      </w:r>
      <w:r>
        <w:rPr>
          <w:rFonts w:asciiTheme="majorHAnsi" w:hAnsiTheme="majorHAnsi"/>
        </w:rPr>
        <w:t>one (1)</w:t>
      </w:r>
      <w:r w:rsidRPr="00F704B5">
        <w:rPr>
          <w:rFonts w:asciiTheme="majorHAnsi" w:hAnsiTheme="majorHAnsi"/>
        </w:rPr>
        <w:t xml:space="preserve"> full-time equivalent provider and less than 600 attributed WHI patients will be pro-rated on a case-by-case basis.</w:t>
      </w:r>
      <w:r>
        <w:rPr>
          <w:rFonts w:asciiTheme="majorHAnsi" w:hAnsiTheme="majorHAnsi"/>
        </w:rPr>
        <w:t xml:space="preserve"> This CHT floor will not apply to Blueprint patient centered medical homes (PCMH) with participating WHI providers.</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04B5">
        <w:rPr>
          <w:rFonts w:asciiTheme="majorHAnsi" w:hAnsiTheme="majorHAnsi" w:cs="Arial"/>
        </w:rPr>
        <w:t xml:space="preserve">The WHI-participating insurers or payers will make WHI CHT payments on the same schedule as the WHI practice payments. </w:t>
      </w:r>
      <w:r w:rsidRPr="00F704B5">
        <w:rPr>
          <w:rFonts w:asciiTheme="majorHAnsi" w:hAnsiTheme="majorHAnsi"/>
        </w:rPr>
        <w:t xml:space="preserve">CHT payments will be made to the Blueprint Administrative Entity in the Health Service Area where the WHI practice is located. </w:t>
      </w:r>
    </w:p>
    <w:p w:rsidR="001827AF" w:rsidRPr="00F704B5" w:rsidRDefault="001827AF" w:rsidP="001827AF">
      <w:pPr>
        <w:rPr>
          <w:rFonts w:asciiTheme="majorHAnsi" w:hAnsiTheme="majorHAnsi"/>
        </w:rPr>
      </w:pPr>
    </w:p>
    <w:p w:rsidR="001827AF" w:rsidRPr="00F704B5" w:rsidRDefault="001827AF" w:rsidP="006E05C6">
      <w:pPr>
        <w:pStyle w:val="Heading3"/>
      </w:pPr>
      <w:bookmarkStart w:id="131" w:name="_Toc521488615"/>
      <w:r w:rsidRPr="00F704B5">
        <w:t>One-time Capacity Payment Per-Member Payment (PMP)</w:t>
      </w:r>
      <w:bookmarkEnd w:id="131"/>
    </w:p>
    <w:p w:rsidR="001827AF" w:rsidRPr="00F704B5" w:rsidRDefault="001827AF" w:rsidP="001827AF">
      <w:pPr>
        <w:rPr>
          <w:rFonts w:asciiTheme="majorHAnsi" w:hAnsiTheme="majorHAnsi" w:cs="Arial"/>
        </w:rPr>
      </w:pPr>
      <w:r w:rsidRPr="00F704B5">
        <w:rPr>
          <w:rFonts w:asciiTheme="majorHAnsi" w:hAnsiTheme="majorHAnsi" w:cs="Arial"/>
        </w:rPr>
        <w:t xml:space="preserve">The purpose of the one-time capacity payment is to assist WHI practices in initiating WHI strategies and specifically provides support to the practices </w:t>
      </w:r>
      <w:r>
        <w:rPr>
          <w:rFonts w:asciiTheme="majorHAnsi" w:hAnsiTheme="majorHAnsi" w:cs="Arial"/>
        </w:rPr>
        <w:t>as they design and implement</w:t>
      </w:r>
      <w:r w:rsidRPr="00F704B5">
        <w:rPr>
          <w:rFonts w:asciiTheme="majorHAnsi" w:hAnsiTheme="majorHAnsi" w:cs="Arial"/>
        </w:rPr>
        <w:t xml:space="preserve"> processes to provide evidence-based family planning counseling on the full spectrum of birth control options, stock LARC devices, and offer</w:t>
      </w:r>
      <w:r>
        <w:rPr>
          <w:rFonts w:asciiTheme="majorHAnsi" w:hAnsiTheme="majorHAnsi" w:cs="Arial"/>
        </w:rPr>
        <w:t xml:space="preserve"> </w:t>
      </w:r>
      <w:r w:rsidRPr="00F704B5">
        <w:rPr>
          <w:rFonts w:asciiTheme="majorHAnsi" w:hAnsiTheme="majorHAnsi" w:cs="Arial"/>
        </w:rPr>
        <w:t>patients who choose LARC</w:t>
      </w:r>
      <w:r>
        <w:rPr>
          <w:rFonts w:asciiTheme="majorHAnsi" w:hAnsiTheme="majorHAnsi" w:cs="Arial"/>
        </w:rPr>
        <w:t xml:space="preserve"> same-day</w:t>
      </w:r>
      <w:r w:rsidRPr="00F704B5">
        <w:rPr>
          <w:rFonts w:asciiTheme="majorHAnsi" w:hAnsiTheme="majorHAnsi" w:cs="Arial"/>
        </w:rPr>
        <w:t xml:space="preserve"> insertion.  The WHI-participating insurers or payers will share the costs </w:t>
      </w:r>
      <w:r>
        <w:rPr>
          <w:rFonts w:asciiTheme="majorHAnsi" w:hAnsiTheme="majorHAnsi" w:cs="Arial"/>
        </w:rPr>
        <w:t>of</w:t>
      </w:r>
      <w:r w:rsidRPr="00F704B5">
        <w:rPr>
          <w:rFonts w:asciiTheme="majorHAnsi" w:hAnsiTheme="majorHAnsi" w:cs="Arial"/>
        </w:rPr>
        <w:t xml:space="preserve"> the capacity payment and will send their share of the costs directly to the WHI practices.</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04B5">
        <w:rPr>
          <w:rFonts w:asciiTheme="majorHAnsi" w:hAnsiTheme="majorHAnsi" w:cs="Arial"/>
        </w:rPr>
        <w:t xml:space="preserve">The capacity payment is a one-time per member payment (PMP) based on patient attribution.  It includes a </w:t>
      </w:r>
      <w:r>
        <w:rPr>
          <w:rFonts w:asciiTheme="majorHAnsi" w:hAnsiTheme="majorHAnsi" w:cs="Arial"/>
        </w:rPr>
        <w:t xml:space="preserve">capacity payment </w:t>
      </w:r>
      <w:r w:rsidRPr="00F704B5">
        <w:rPr>
          <w:rFonts w:asciiTheme="majorHAnsi" w:hAnsiTheme="majorHAnsi" w:cs="Arial"/>
        </w:rPr>
        <w:t>floor or minimum payment for smaller practices and ceiling or maximum payment for larger practices depending on the total number of attributed</w:t>
      </w:r>
      <w:r>
        <w:rPr>
          <w:rFonts w:asciiTheme="majorHAnsi" w:hAnsiTheme="majorHAnsi" w:cs="Arial"/>
        </w:rPr>
        <w:t xml:space="preserve"> lives</w:t>
      </w:r>
      <w:r w:rsidRPr="00F704B5">
        <w:rPr>
          <w:rFonts w:asciiTheme="majorHAnsi" w:hAnsiTheme="majorHAnsi" w:cs="Arial"/>
        </w:rPr>
        <w:t xml:space="preserve">. The payment amount for the one-time capacity payment is also dependent on whether a practice participates in the 340B pharmacy program.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Pr>
          <w:rFonts w:asciiTheme="majorHAnsi" w:hAnsiTheme="majorHAnsi" w:cs="Arial"/>
          <w:b/>
        </w:rPr>
        <w:t xml:space="preserve">Capacity Payment </w:t>
      </w:r>
      <w:r w:rsidRPr="00F704B5">
        <w:rPr>
          <w:rFonts w:asciiTheme="majorHAnsi" w:hAnsiTheme="majorHAnsi" w:cs="Arial"/>
          <w:b/>
        </w:rPr>
        <w:t xml:space="preserve">Floor: </w:t>
      </w:r>
      <w:r w:rsidRPr="00F704B5">
        <w:rPr>
          <w:rFonts w:asciiTheme="majorHAnsi" w:hAnsiTheme="majorHAnsi" w:cs="Arial"/>
        </w:rPr>
        <w:t xml:space="preserve">The </w:t>
      </w:r>
      <w:r>
        <w:rPr>
          <w:rFonts w:asciiTheme="majorHAnsi" w:hAnsiTheme="majorHAnsi" w:cs="Arial"/>
        </w:rPr>
        <w:t xml:space="preserve">capacity payment </w:t>
      </w:r>
      <w:r w:rsidRPr="00F704B5">
        <w:rPr>
          <w:rFonts w:asciiTheme="majorHAnsi" w:hAnsiTheme="majorHAnsi" w:cs="Arial"/>
        </w:rPr>
        <w:t xml:space="preserve">floor was established based on the cost of stocking at least two hormonal and two non-hormonal IUDs, and </w:t>
      </w:r>
      <w:r>
        <w:rPr>
          <w:rFonts w:asciiTheme="majorHAnsi" w:hAnsiTheme="majorHAnsi" w:cs="Arial"/>
        </w:rPr>
        <w:t>one</w:t>
      </w:r>
      <w:r w:rsidRPr="00F704B5">
        <w:rPr>
          <w:rFonts w:asciiTheme="majorHAnsi" w:hAnsiTheme="majorHAnsi" w:cs="Arial"/>
        </w:rPr>
        <w:t xml:space="preserve"> implant. These 4 IUDs</w:t>
      </w:r>
      <w:r>
        <w:rPr>
          <w:rFonts w:asciiTheme="majorHAnsi" w:hAnsiTheme="majorHAnsi" w:cs="Arial"/>
        </w:rPr>
        <w:t xml:space="preserve"> (</w:t>
      </w:r>
      <w:r w:rsidRPr="00F704B5">
        <w:rPr>
          <w:rFonts w:asciiTheme="majorHAnsi" w:hAnsiTheme="majorHAnsi" w:cs="Arial"/>
        </w:rPr>
        <w:t>two hormonal and two non-hormonal</w:t>
      </w:r>
      <w:r>
        <w:rPr>
          <w:rFonts w:asciiTheme="majorHAnsi" w:hAnsiTheme="majorHAnsi" w:cs="Arial"/>
        </w:rPr>
        <w:t>)</w:t>
      </w:r>
      <w:r w:rsidRPr="00F704B5">
        <w:rPr>
          <w:rFonts w:asciiTheme="majorHAnsi" w:hAnsiTheme="majorHAnsi" w:cs="Arial"/>
        </w:rPr>
        <w:t xml:space="preserve">, </w:t>
      </w:r>
      <w:r>
        <w:rPr>
          <w:rFonts w:asciiTheme="majorHAnsi" w:hAnsiTheme="majorHAnsi" w:cs="Arial"/>
        </w:rPr>
        <w:t>and one</w:t>
      </w:r>
      <w:r w:rsidRPr="00F704B5">
        <w:rPr>
          <w:rFonts w:asciiTheme="majorHAnsi" w:hAnsiTheme="majorHAnsi" w:cs="Arial"/>
        </w:rPr>
        <w:t xml:space="preserve"> implant comprise the minimum stocking </w:t>
      </w:r>
      <w:r w:rsidRPr="00F704B5">
        <w:rPr>
          <w:rFonts w:asciiTheme="majorHAnsi" w:hAnsiTheme="majorHAnsi" w:cs="Arial"/>
        </w:rPr>
        <w:lastRenderedPageBreak/>
        <w:t xml:space="preserve">requirement for WHI practices (see section </w:t>
      </w:r>
      <w:r w:rsidRPr="00F704B5">
        <w:rPr>
          <w:rFonts w:asciiTheme="majorHAnsi" w:hAnsiTheme="majorHAnsi" w:cs="Arial"/>
        </w:rPr>
        <w:fldChar w:fldCharType="begin"/>
      </w:r>
      <w:r w:rsidRPr="00F704B5">
        <w:rPr>
          <w:rFonts w:asciiTheme="majorHAnsi" w:hAnsiTheme="majorHAnsi" w:cs="Arial"/>
        </w:rPr>
        <w:instrText xml:space="preserve"> REF _Ref479012870 \r \h </w:instrText>
      </w:r>
      <w:r w:rsidRPr="00F704B5">
        <w:rPr>
          <w:rFonts w:asciiTheme="majorHAnsi" w:hAnsiTheme="majorHAnsi" w:cs="Arial"/>
        </w:rPr>
      </w:r>
      <w:r w:rsidRPr="00F704B5">
        <w:rPr>
          <w:rFonts w:asciiTheme="majorHAnsi" w:hAnsiTheme="majorHAnsi" w:cs="Arial"/>
        </w:rPr>
        <w:fldChar w:fldCharType="separate"/>
      </w:r>
      <w:r w:rsidR="00143985">
        <w:rPr>
          <w:rFonts w:asciiTheme="majorHAnsi" w:hAnsiTheme="majorHAnsi" w:cs="Arial"/>
        </w:rPr>
        <w:t>6.2</w:t>
      </w:r>
      <w:r w:rsidRPr="00F704B5">
        <w:rPr>
          <w:rFonts w:asciiTheme="majorHAnsi" w:hAnsiTheme="majorHAnsi" w:cs="Arial"/>
        </w:rPr>
        <w:fldChar w:fldCharType="end"/>
      </w:r>
      <w:r w:rsidRPr="00F704B5">
        <w:rPr>
          <w:rFonts w:asciiTheme="majorHAnsi" w:hAnsiTheme="majorHAnsi" w:cs="Arial"/>
        </w:rPr>
        <w:t xml:space="preserve"> WHI Strategies). The </w:t>
      </w:r>
      <w:r>
        <w:rPr>
          <w:rFonts w:asciiTheme="majorHAnsi" w:hAnsiTheme="majorHAnsi" w:cs="Arial"/>
        </w:rPr>
        <w:t xml:space="preserve">capacity payment </w:t>
      </w:r>
      <w:r w:rsidRPr="00F704B5">
        <w:rPr>
          <w:rFonts w:asciiTheme="majorHAnsi" w:hAnsiTheme="majorHAnsi" w:cs="Arial"/>
        </w:rPr>
        <w:t xml:space="preserve">floor or minimum payment value of the PMP is $927 for Medicaid 340B eligible practices and $5,163 for non-Medicaid 340B eligible practices.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Pr>
          <w:rFonts w:asciiTheme="majorHAnsi" w:hAnsiTheme="majorHAnsi" w:cs="Arial"/>
          <w:b/>
        </w:rPr>
        <w:t xml:space="preserve">Capacity Payment </w:t>
      </w:r>
      <w:r w:rsidRPr="00F704B5">
        <w:rPr>
          <w:rFonts w:asciiTheme="majorHAnsi" w:hAnsiTheme="majorHAnsi" w:cs="Arial"/>
          <w:b/>
        </w:rPr>
        <w:t xml:space="preserve">Ceiling: </w:t>
      </w:r>
      <w:r w:rsidRPr="00F704B5">
        <w:rPr>
          <w:rFonts w:asciiTheme="majorHAnsi" w:hAnsiTheme="majorHAnsi" w:cs="Arial"/>
        </w:rPr>
        <w:t xml:space="preserve">The is a ceiling based on covering the costs of stocking at least 8 of each device, yielding a total of 24 devices for each WHI practice. The ceiling or maximum payment value of the PMP is $3,387 for Medicaid 340B eligible practices and $16,184 for non-Medicaid 340B eligible practices.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rPr>
      </w:pPr>
      <w:r w:rsidRPr="00F704B5">
        <w:rPr>
          <w:rFonts w:asciiTheme="majorHAnsi" w:hAnsiTheme="majorHAnsi" w:cs="Arial"/>
        </w:rPr>
        <w:t xml:space="preserve">Between the </w:t>
      </w:r>
      <w:r>
        <w:rPr>
          <w:rFonts w:asciiTheme="majorHAnsi" w:hAnsiTheme="majorHAnsi" w:cs="Arial"/>
        </w:rPr>
        <w:t xml:space="preserve">capacity payment </w:t>
      </w:r>
      <w:r w:rsidRPr="00F704B5">
        <w:rPr>
          <w:rFonts w:asciiTheme="majorHAnsi" w:hAnsiTheme="majorHAnsi" w:cs="Arial"/>
        </w:rPr>
        <w:t>floor and ceiling</w:t>
      </w:r>
      <w:r>
        <w:rPr>
          <w:rFonts w:asciiTheme="majorHAnsi" w:hAnsiTheme="majorHAnsi" w:cs="Arial"/>
        </w:rPr>
        <w:t>,</w:t>
      </w:r>
      <w:r w:rsidRPr="00F704B5">
        <w:rPr>
          <w:rFonts w:asciiTheme="majorHAnsi" w:hAnsiTheme="majorHAnsi" w:cs="Arial"/>
        </w:rPr>
        <w:t xml:space="preserve"> WHI-participating insurers or payers will pay $4.42 per member for Medicaid 340B eligible WHI practices</w:t>
      </w:r>
      <w:r>
        <w:rPr>
          <w:rFonts w:asciiTheme="majorHAnsi" w:hAnsiTheme="majorHAnsi" w:cs="Arial"/>
        </w:rPr>
        <w:t>, or</w:t>
      </w:r>
      <w:r w:rsidRPr="00F704B5">
        <w:rPr>
          <w:rFonts w:asciiTheme="majorHAnsi" w:hAnsiTheme="majorHAnsi" w:cs="Arial"/>
        </w:rPr>
        <w:t xml:space="preserve"> $11.87 per member for non-Medicaid 340B eligible WHI practices. </w:t>
      </w:r>
      <w:r w:rsidRPr="00F704B5">
        <w:rPr>
          <w:rFonts w:asciiTheme="majorHAnsi" w:hAnsiTheme="majorHAnsi"/>
        </w:rPr>
        <w:t xml:space="preserve">The WHI-participating insurer or payer will make the capacity payment one time, as determined by the WHI initiation date set by the </w:t>
      </w:r>
      <w:r>
        <w:rPr>
          <w:rFonts w:asciiTheme="majorHAnsi" w:hAnsiTheme="majorHAnsi"/>
        </w:rPr>
        <w:t>Blueprint for Health based upon the preferences of the WHI practice</w:t>
      </w:r>
      <w:r w:rsidRPr="00F704B5">
        <w:rPr>
          <w:rFonts w:asciiTheme="majorHAnsi" w:hAnsiTheme="majorHAnsi"/>
        </w:rPr>
        <w:t xml:space="preserve">.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cs="Arial"/>
        </w:rPr>
        <w:t xml:space="preserve">For practices, whose payments are below the </w:t>
      </w:r>
      <w:r>
        <w:rPr>
          <w:rFonts w:asciiTheme="majorHAnsi" w:hAnsiTheme="majorHAnsi" w:cs="Arial"/>
        </w:rPr>
        <w:t xml:space="preserve">capacity payment </w:t>
      </w:r>
      <w:r w:rsidRPr="00F704B5">
        <w:rPr>
          <w:rFonts w:asciiTheme="majorHAnsi" w:hAnsiTheme="majorHAnsi" w:cs="Arial"/>
        </w:rPr>
        <w:t>floor or above the ceiling</w:t>
      </w:r>
      <w:r>
        <w:rPr>
          <w:rFonts w:asciiTheme="majorHAnsi" w:hAnsiTheme="majorHAnsi" w:cs="Arial"/>
        </w:rPr>
        <w:t>,</w:t>
      </w:r>
      <w:r w:rsidRPr="00F704B5">
        <w:rPr>
          <w:rFonts w:asciiTheme="majorHAnsi" w:hAnsiTheme="majorHAnsi"/>
        </w:rPr>
        <w:t xml:space="preserve"> WHI-participating insurers or payers will share in the cost, proportional to their share of the WHI patient population (claims-attributed total unique WHI patients).  WHI-participating insurer or payer proportions will be derived from the WHI practices’ attribution during the first month of the practices’ participation.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 xml:space="preserve">If a new insurer joins the WHI, a new PMP will be calculated for </w:t>
      </w:r>
      <w:r>
        <w:rPr>
          <w:rFonts w:asciiTheme="majorHAnsi" w:hAnsiTheme="majorHAnsi"/>
        </w:rPr>
        <w:t>all</w:t>
      </w:r>
      <w:r w:rsidRPr="00F704B5">
        <w:rPr>
          <w:rFonts w:asciiTheme="majorHAnsi" w:hAnsiTheme="majorHAnsi"/>
        </w:rPr>
        <w:t xml:space="preserve"> practice</w:t>
      </w:r>
      <w:r>
        <w:rPr>
          <w:rFonts w:asciiTheme="majorHAnsi" w:hAnsiTheme="majorHAnsi"/>
        </w:rPr>
        <w:t>s</w:t>
      </w:r>
      <w:r w:rsidRPr="00F704B5">
        <w:rPr>
          <w:rFonts w:asciiTheme="majorHAnsi" w:hAnsiTheme="majorHAnsi"/>
        </w:rPr>
        <w:t xml:space="preserve"> based on the combined attribution for all insurers.  The newly participating insurer will pay the difference between the initial PMP and new PMP.  The payment </w:t>
      </w:r>
      <w:r>
        <w:rPr>
          <w:rFonts w:asciiTheme="majorHAnsi" w:hAnsiTheme="majorHAnsi"/>
        </w:rPr>
        <w:t>made</w:t>
      </w:r>
      <w:r w:rsidRPr="00F704B5">
        <w:rPr>
          <w:rFonts w:asciiTheme="majorHAnsi" w:hAnsiTheme="majorHAnsi"/>
        </w:rPr>
        <w:t xml:space="preserve"> by the newly participating insurer will not exceed the per member</w:t>
      </w:r>
      <w:r>
        <w:rPr>
          <w:rFonts w:asciiTheme="majorHAnsi" w:hAnsiTheme="majorHAnsi"/>
        </w:rPr>
        <w:t xml:space="preserve"> </w:t>
      </w:r>
      <w:r w:rsidRPr="00F704B5">
        <w:rPr>
          <w:rFonts w:asciiTheme="majorHAnsi" w:hAnsiTheme="majorHAnsi"/>
        </w:rPr>
        <w:t xml:space="preserve">payment based on that insurer’s patient attribution. </w:t>
      </w:r>
    </w:p>
    <w:p w:rsidR="001827AF" w:rsidRPr="00F704B5" w:rsidRDefault="001827AF" w:rsidP="001827AF">
      <w:pPr>
        <w:rPr>
          <w:rFonts w:asciiTheme="majorHAnsi" w:hAnsiTheme="majorHAnsi"/>
        </w:rPr>
      </w:pPr>
    </w:p>
    <w:p w:rsidR="001827AF" w:rsidRPr="00F704B5" w:rsidRDefault="001827AF" w:rsidP="000815EB">
      <w:pPr>
        <w:pStyle w:val="Heading2"/>
      </w:pPr>
      <w:bookmarkStart w:id="132" w:name="_Ref479014352"/>
      <w:bookmarkStart w:id="133" w:name="_Toc521488616"/>
      <w:r w:rsidRPr="00F704B5">
        <w:t>Procedure for sustaining WHI payments if practice lapses in implementing the WHI strategies</w:t>
      </w:r>
      <w:bookmarkEnd w:id="132"/>
      <w:bookmarkEnd w:id="133"/>
    </w:p>
    <w:p w:rsidR="001827AF" w:rsidRPr="00F704B5" w:rsidRDefault="001827AF" w:rsidP="001827AF">
      <w:pPr>
        <w:rPr>
          <w:rFonts w:asciiTheme="majorHAnsi" w:hAnsiTheme="majorHAnsi"/>
        </w:rPr>
      </w:pPr>
      <w:r w:rsidRPr="00F704B5">
        <w:rPr>
          <w:rFonts w:asciiTheme="majorHAnsi" w:hAnsiTheme="majorHAnsi"/>
        </w:rPr>
        <w:t xml:space="preserve">It is incumbent </w:t>
      </w:r>
      <w:r>
        <w:rPr>
          <w:rFonts w:asciiTheme="majorHAnsi" w:hAnsiTheme="majorHAnsi"/>
        </w:rPr>
        <w:t>up</w:t>
      </w:r>
      <w:r w:rsidRPr="00F704B5">
        <w:rPr>
          <w:rFonts w:asciiTheme="majorHAnsi" w:hAnsiTheme="majorHAnsi"/>
        </w:rPr>
        <w:t>on the WHI practices to implement and maintain the WHI strategies in their practice.  Annually</w:t>
      </w:r>
      <w:r>
        <w:rPr>
          <w:rFonts w:asciiTheme="majorHAnsi" w:hAnsiTheme="majorHAnsi"/>
        </w:rPr>
        <w:t>,</w:t>
      </w:r>
      <w:r w:rsidRPr="00F704B5">
        <w:rPr>
          <w:rFonts w:asciiTheme="majorHAnsi" w:hAnsiTheme="majorHAnsi"/>
        </w:rPr>
        <w:t xml:space="preserve"> practices will attest to meeting the WHI strategies and may be audited by the State or its designee. If a WHI practice does</w:t>
      </w:r>
      <w:r>
        <w:rPr>
          <w:rFonts w:asciiTheme="majorHAnsi" w:hAnsiTheme="majorHAnsi"/>
        </w:rPr>
        <w:t xml:space="preserve"> not</w:t>
      </w:r>
      <w:r w:rsidRPr="00F704B5">
        <w:rPr>
          <w:rFonts w:asciiTheme="majorHAnsi" w:hAnsiTheme="majorHAnsi"/>
        </w:rPr>
        <w:t xml:space="preserve"> implement the strategies within </w:t>
      </w:r>
      <w:r>
        <w:rPr>
          <w:rFonts w:asciiTheme="majorHAnsi" w:hAnsiTheme="majorHAnsi"/>
        </w:rPr>
        <w:t>one</w:t>
      </w:r>
      <w:r w:rsidRPr="00F704B5">
        <w:rPr>
          <w:rFonts w:asciiTheme="majorHAnsi" w:hAnsiTheme="majorHAnsi"/>
        </w:rPr>
        <w:t xml:space="preserve"> year </w:t>
      </w:r>
      <w:r>
        <w:rPr>
          <w:rFonts w:asciiTheme="majorHAnsi" w:hAnsiTheme="majorHAnsi"/>
        </w:rPr>
        <w:t>after their WHI initiation date</w:t>
      </w:r>
      <w:r w:rsidRPr="00F704B5">
        <w:rPr>
          <w:rFonts w:asciiTheme="majorHAnsi" w:hAnsiTheme="majorHAnsi"/>
        </w:rPr>
        <w:t xml:space="preserve"> or the timeline as designed</w:t>
      </w:r>
      <w:r>
        <w:rPr>
          <w:rFonts w:asciiTheme="majorHAnsi" w:hAnsiTheme="majorHAnsi"/>
        </w:rPr>
        <w:t xml:space="preserve"> in section </w:t>
      </w:r>
      <w:r>
        <w:rPr>
          <w:rFonts w:asciiTheme="majorHAnsi" w:hAnsiTheme="majorHAnsi"/>
        </w:rPr>
        <w:fldChar w:fldCharType="begin"/>
      </w:r>
      <w:r>
        <w:rPr>
          <w:rFonts w:asciiTheme="majorHAnsi" w:hAnsiTheme="majorHAnsi"/>
        </w:rPr>
        <w:instrText xml:space="preserve"> REF _Ref479012870 \r \h </w:instrText>
      </w:r>
      <w:r>
        <w:rPr>
          <w:rFonts w:asciiTheme="majorHAnsi" w:hAnsiTheme="majorHAnsi"/>
        </w:rPr>
      </w:r>
      <w:r>
        <w:rPr>
          <w:rFonts w:asciiTheme="majorHAnsi" w:hAnsiTheme="majorHAnsi"/>
        </w:rPr>
        <w:fldChar w:fldCharType="separate"/>
      </w:r>
      <w:r w:rsidR="00143985">
        <w:rPr>
          <w:rFonts w:asciiTheme="majorHAnsi" w:hAnsiTheme="majorHAnsi"/>
        </w:rPr>
        <w:t>6.2</w:t>
      </w:r>
      <w:r>
        <w:rPr>
          <w:rFonts w:asciiTheme="majorHAnsi" w:hAnsiTheme="majorHAnsi"/>
        </w:rPr>
        <w:fldChar w:fldCharType="end"/>
      </w:r>
      <w:r>
        <w:rPr>
          <w:rFonts w:asciiTheme="majorHAnsi" w:hAnsiTheme="majorHAnsi"/>
        </w:rPr>
        <w:t xml:space="preserve">, </w:t>
      </w:r>
      <w:r w:rsidRPr="00F704B5">
        <w:rPr>
          <w:rFonts w:asciiTheme="majorHAnsi" w:hAnsiTheme="majorHAnsi"/>
        </w:rPr>
        <w:t xml:space="preserve">the WHI practice and the Blueprint Associate Director or designee will develop an action plan with a clear timeline for achieving compliance, if CHT payments are to continue.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The action plan must have the following 3 components:</w:t>
      </w:r>
    </w:p>
    <w:p w:rsidR="001827AF" w:rsidRPr="00D6233A" w:rsidRDefault="001827AF" w:rsidP="00515635">
      <w:pPr>
        <w:pStyle w:val="ListParagraph"/>
        <w:numPr>
          <w:ilvl w:val="0"/>
          <w:numId w:val="27"/>
        </w:numPr>
        <w:rPr>
          <w:rFonts w:asciiTheme="majorHAnsi" w:hAnsiTheme="majorHAnsi"/>
        </w:rPr>
      </w:pPr>
      <w:r w:rsidRPr="00D057D7">
        <w:rPr>
          <w:rFonts w:asciiTheme="majorHAnsi" w:hAnsiTheme="majorHAnsi"/>
        </w:rPr>
        <w:t>Identification of the reason(s) for the practice not achieving compliance with their Women’s Health Initiative practice attestation,</w:t>
      </w:r>
    </w:p>
    <w:p w:rsidR="001827AF" w:rsidRPr="00D057D7" w:rsidRDefault="001827AF" w:rsidP="00515635">
      <w:pPr>
        <w:pStyle w:val="ListParagraph"/>
        <w:numPr>
          <w:ilvl w:val="0"/>
          <w:numId w:val="27"/>
        </w:numPr>
        <w:rPr>
          <w:rFonts w:asciiTheme="majorHAnsi" w:hAnsiTheme="majorHAnsi"/>
        </w:rPr>
      </w:pPr>
      <w:r w:rsidRPr="00D057D7">
        <w:rPr>
          <w:rFonts w:asciiTheme="majorHAnsi" w:hAnsiTheme="majorHAnsi"/>
        </w:rPr>
        <w:t>A clear plan for targeted improvement with identification of parties responsible for the steps to take, and</w:t>
      </w:r>
    </w:p>
    <w:p w:rsidR="001827AF" w:rsidRPr="00D057D7" w:rsidRDefault="001827AF" w:rsidP="00515635">
      <w:pPr>
        <w:pStyle w:val="ListParagraph"/>
        <w:numPr>
          <w:ilvl w:val="0"/>
          <w:numId w:val="27"/>
        </w:numPr>
        <w:rPr>
          <w:rFonts w:asciiTheme="majorHAnsi" w:hAnsiTheme="majorHAnsi"/>
        </w:rPr>
      </w:pPr>
      <w:r w:rsidRPr="00D057D7">
        <w:rPr>
          <w:rFonts w:asciiTheme="majorHAnsi" w:hAnsiTheme="majorHAnsi"/>
        </w:rPr>
        <w:t xml:space="preserve">A clear timeline for targeted improvement.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 xml:space="preserve">The action plan will be developed within 30 days after </w:t>
      </w:r>
      <w:r>
        <w:rPr>
          <w:rFonts w:asciiTheme="majorHAnsi" w:hAnsiTheme="majorHAnsi"/>
        </w:rPr>
        <w:t>one year of</w:t>
      </w:r>
      <w:r w:rsidRPr="00F704B5">
        <w:rPr>
          <w:rFonts w:asciiTheme="majorHAnsi" w:hAnsiTheme="majorHAnsi"/>
        </w:rPr>
        <w:t xml:space="preserve"> participation in the Women’s Health Initiative.</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Regardless of whether an action plan is developed, WHI-participating insurers or payers will terminate WHI Practice P</w:t>
      </w:r>
      <w:r>
        <w:rPr>
          <w:rFonts w:asciiTheme="majorHAnsi" w:hAnsiTheme="majorHAnsi"/>
        </w:rPr>
        <w:t>M</w:t>
      </w:r>
      <w:r w:rsidRPr="00F704B5">
        <w:rPr>
          <w:rFonts w:asciiTheme="majorHAnsi" w:hAnsiTheme="majorHAnsi"/>
        </w:rPr>
        <w:t>PM payments on the last day of the month following the practice’s lapse.  Payments will start again the first day of the month following a practice’s implementing the Women’s Health Initiative strategies.</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cs="Arial"/>
        </w:rPr>
      </w:pPr>
      <w:r w:rsidRPr="00F704B5">
        <w:rPr>
          <w:rFonts w:asciiTheme="majorHAnsi" w:hAnsiTheme="majorHAnsi"/>
        </w:rPr>
        <w:t xml:space="preserve">If an action plan is not developed as stated above, the additional WHI CHT payments related to that practice’s patients will end on the last day of the quarter during which the practice’s year-long participation date falls.  If an action plan is developed, the additional WHI CHT payments related to that practice’s patients will remain in place for the quarter following the date which the practice’s year-long participation date falls, and will then decline by 25% for each quarter thereafter, until the above criteria are met, (at which time full WHI CHT payments will be restored).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p>
    <w:p w:rsidR="001827AF" w:rsidRPr="00F704B5" w:rsidRDefault="00A52973" w:rsidP="000815EB">
      <w:pPr>
        <w:pStyle w:val="Heading2"/>
      </w:pPr>
      <w:bookmarkStart w:id="134" w:name="_Ref479014368"/>
      <w:bookmarkStart w:id="135" w:name="_Toc521488617"/>
      <w:r>
        <w:t xml:space="preserve">Participation in the WHI for </w:t>
      </w:r>
      <w:r w:rsidR="001827AF" w:rsidRPr="00F704B5">
        <w:t>Patient Centered Medical Homes</w:t>
      </w:r>
      <w:bookmarkEnd w:id="134"/>
      <w:bookmarkEnd w:id="135"/>
    </w:p>
    <w:p w:rsidR="001827AF" w:rsidRPr="00F704B5" w:rsidRDefault="001827AF" w:rsidP="001827AF">
      <w:pPr>
        <w:rPr>
          <w:rFonts w:asciiTheme="majorHAnsi" w:hAnsiTheme="majorHAnsi"/>
        </w:rPr>
      </w:pPr>
      <w:r w:rsidRPr="00F704B5">
        <w:rPr>
          <w:rFonts w:asciiTheme="majorHAnsi" w:hAnsiTheme="majorHAnsi"/>
        </w:rPr>
        <w:t xml:space="preserve">Blueprint Patient Centered Medical Home practices are encouraged to participate in the WHI and are eligible for the WHI </w:t>
      </w:r>
      <w:r w:rsidR="00D62B8B">
        <w:rPr>
          <w:rFonts w:asciiTheme="majorHAnsi" w:hAnsiTheme="majorHAnsi"/>
        </w:rPr>
        <w:t xml:space="preserve">PMPM and </w:t>
      </w:r>
      <w:r>
        <w:rPr>
          <w:rFonts w:asciiTheme="majorHAnsi" w:hAnsiTheme="majorHAnsi"/>
        </w:rPr>
        <w:t>o</w:t>
      </w:r>
      <w:r w:rsidRPr="00F704B5">
        <w:rPr>
          <w:rFonts w:asciiTheme="majorHAnsi" w:hAnsiTheme="majorHAnsi"/>
        </w:rPr>
        <w:t>ne-</w:t>
      </w:r>
      <w:r>
        <w:rPr>
          <w:rFonts w:asciiTheme="majorHAnsi" w:hAnsiTheme="majorHAnsi"/>
        </w:rPr>
        <w:t>t</w:t>
      </w:r>
      <w:r w:rsidRPr="00F704B5">
        <w:rPr>
          <w:rFonts w:asciiTheme="majorHAnsi" w:hAnsiTheme="majorHAnsi"/>
        </w:rPr>
        <w:t xml:space="preserve">ime </w:t>
      </w:r>
      <w:r>
        <w:rPr>
          <w:rFonts w:asciiTheme="majorHAnsi" w:hAnsiTheme="majorHAnsi"/>
        </w:rPr>
        <w:t>c</w:t>
      </w:r>
      <w:r w:rsidRPr="00F704B5">
        <w:rPr>
          <w:rFonts w:asciiTheme="majorHAnsi" w:hAnsiTheme="majorHAnsi"/>
        </w:rPr>
        <w:t xml:space="preserve">apacity </w:t>
      </w:r>
      <w:r>
        <w:rPr>
          <w:rFonts w:asciiTheme="majorHAnsi" w:hAnsiTheme="majorHAnsi"/>
        </w:rPr>
        <w:t>p</w:t>
      </w:r>
      <w:r w:rsidRPr="00F704B5">
        <w:rPr>
          <w:rFonts w:asciiTheme="majorHAnsi" w:hAnsiTheme="majorHAnsi"/>
        </w:rPr>
        <w:t xml:space="preserve">ayment for their attributed </w:t>
      </w:r>
      <w:r>
        <w:rPr>
          <w:rFonts w:asciiTheme="majorHAnsi" w:hAnsiTheme="majorHAnsi"/>
        </w:rPr>
        <w:t xml:space="preserve">Blueprint </w:t>
      </w:r>
      <w:r w:rsidRPr="00F704B5">
        <w:rPr>
          <w:rFonts w:asciiTheme="majorHAnsi" w:hAnsiTheme="majorHAnsi"/>
        </w:rPr>
        <w:t xml:space="preserve">PCMH patients who are women between the ages of 15 and 44 years (inclusive). </w:t>
      </w:r>
      <w:r>
        <w:rPr>
          <w:rFonts w:asciiTheme="majorHAnsi" w:hAnsiTheme="majorHAnsi"/>
        </w:rPr>
        <w:t xml:space="preserve">Attribution methodology for PCMHs can be found in sections 5.1 and Appendix 3.  Practices </w:t>
      </w:r>
      <w:r w:rsidR="00296DEC">
        <w:rPr>
          <w:rFonts w:asciiTheme="majorHAnsi" w:hAnsiTheme="majorHAnsi"/>
        </w:rPr>
        <w:t xml:space="preserve">that receive the CHT PMPM payments for their </w:t>
      </w:r>
      <w:r w:rsidR="00296DEC" w:rsidRPr="00F704B5">
        <w:rPr>
          <w:rFonts w:asciiTheme="majorHAnsi" w:hAnsiTheme="majorHAnsi"/>
        </w:rPr>
        <w:t>Blueprint PCMH</w:t>
      </w:r>
      <w:r w:rsidR="00296DEC">
        <w:rPr>
          <w:rFonts w:asciiTheme="majorHAnsi" w:hAnsiTheme="majorHAnsi"/>
        </w:rPr>
        <w:t xml:space="preserve"> rostered providers </w:t>
      </w:r>
      <w:r w:rsidRPr="00F704B5">
        <w:rPr>
          <w:rFonts w:asciiTheme="majorHAnsi" w:hAnsiTheme="majorHAnsi"/>
        </w:rPr>
        <w:t xml:space="preserve">are not eligible for the </w:t>
      </w:r>
      <w:r w:rsidR="00296DEC">
        <w:rPr>
          <w:rFonts w:asciiTheme="majorHAnsi" w:hAnsiTheme="majorHAnsi"/>
        </w:rPr>
        <w:t xml:space="preserve">supplemental WHI </w:t>
      </w:r>
      <w:r w:rsidRPr="00F704B5">
        <w:rPr>
          <w:rFonts w:asciiTheme="majorHAnsi" w:hAnsiTheme="majorHAnsi"/>
        </w:rPr>
        <w:t>CHT payment</w:t>
      </w:r>
      <w:r w:rsidR="00296DEC">
        <w:rPr>
          <w:rFonts w:asciiTheme="majorHAnsi" w:hAnsiTheme="majorHAnsi"/>
        </w:rPr>
        <w:t>s</w:t>
      </w:r>
      <w:r w:rsidRPr="00F704B5">
        <w:rPr>
          <w:rFonts w:asciiTheme="majorHAnsi" w:hAnsiTheme="majorHAnsi"/>
        </w:rPr>
        <w:t xml:space="preserve"> </w:t>
      </w:r>
      <w:r>
        <w:rPr>
          <w:rFonts w:asciiTheme="majorHAnsi" w:hAnsiTheme="majorHAnsi"/>
        </w:rPr>
        <w:t xml:space="preserve">for </w:t>
      </w:r>
      <w:r w:rsidR="00296DEC">
        <w:rPr>
          <w:rFonts w:asciiTheme="majorHAnsi" w:hAnsiTheme="majorHAnsi"/>
        </w:rPr>
        <w:t>these</w:t>
      </w:r>
      <w:r>
        <w:rPr>
          <w:rFonts w:asciiTheme="majorHAnsi" w:hAnsiTheme="majorHAnsi"/>
        </w:rPr>
        <w:t xml:space="preserve"> providers</w:t>
      </w:r>
      <w:r w:rsidR="00296DEC">
        <w:rPr>
          <w:rFonts w:asciiTheme="majorHAnsi" w:hAnsiTheme="majorHAnsi"/>
        </w:rPr>
        <w:t>.</w:t>
      </w:r>
    </w:p>
    <w:p w:rsidR="001827AF" w:rsidRPr="00F704B5" w:rsidRDefault="001827AF" w:rsidP="001827AF">
      <w:pPr>
        <w:rPr>
          <w:rFonts w:asciiTheme="majorHAnsi" w:hAnsiTheme="majorHAnsi"/>
        </w:rPr>
      </w:pPr>
    </w:p>
    <w:p w:rsidR="00A52973" w:rsidRDefault="001827AF" w:rsidP="001827AF">
      <w:pPr>
        <w:rPr>
          <w:rFonts w:asciiTheme="majorHAnsi" w:hAnsiTheme="majorHAnsi" w:cs="Arial"/>
        </w:rPr>
      </w:pPr>
      <w:r w:rsidRPr="00F704B5">
        <w:rPr>
          <w:rFonts w:asciiTheme="majorHAnsi" w:hAnsiTheme="majorHAnsi"/>
        </w:rPr>
        <w:t xml:space="preserve">Blueprint PCMHs who participate in the WHI and receive the </w:t>
      </w:r>
      <w:r w:rsidR="00B656CF">
        <w:rPr>
          <w:rFonts w:asciiTheme="majorHAnsi" w:hAnsiTheme="majorHAnsi"/>
        </w:rPr>
        <w:t xml:space="preserve">WHI </w:t>
      </w:r>
      <w:r w:rsidR="008C0A54">
        <w:rPr>
          <w:rFonts w:asciiTheme="majorHAnsi" w:hAnsiTheme="majorHAnsi"/>
        </w:rPr>
        <w:t xml:space="preserve">PMPM and </w:t>
      </w:r>
      <w:r w:rsidR="00B656CF">
        <w:rPr>
          <w:rFonts w:asciiTheme="majorHAnsi" w:hAnsiTheme="majorHAnsi"/>
        </w:rPr>
        <w:t xml:space="preserve">WHI </w:t>
      </w:r>
      <w:r w:rsidRPr="00F704B5">
        <w:rPr>
          <w:rFonts w:asciiTheme="majorHAnsi" w:hAnsiTheme="majorHAnsi"/>
        </w:rPr>
        <w:t xml:space="preserve">PMP </w:t>
      </w:r>
      <w:r>
        <w:rPr>
          <w:rFonts w:asciiTheme="majorHAnsi" w:hAnsiTheme="majorHAnsi"/>
        </w:rPr>
        <w:t xml:space="preserve">will </w:t>
      </w:r>
      <w:r w:rsidRPr="00F704B5">
        <w:rPr>
          <w:rFonts w:asciiTheme="majorHAnsi" w:hAnsiTheme="majorHAnsi"/>
        </w:rPr>
        <w:t xml:space="preserve">attest to implementing and maintaining the WHI strategies. </w:t>
      </w:r>
      <w:r>
        <w:rPr>
          <w:rFonts w:asciiTheme="majorHAnsi" w:hAnsiTheme="majorHAnsi"/>
        </w:rPr>
        <w:t>As with other WHI practices, t</w:t>
      </w:r>
      <w:r w:rsidRPr="00F704B5">
        <w:rPr>
          <w:rFonts w:asciiTheme="majorHAnsi" w:hAnsiTheme="majorHAnsi" w:cs="Arial"/>
        </w:rPr>
        <w:t xml:space="preserve">he purpose of the </w:t>
      </w:r>
      <w:r w:rsidR="00D62B8B">
        <w:rPr>
          <w:rFonts w:asciiTheme="majorHAnsi" w:hAnsiTheme="majorHAnsi" w:cs="Arial"/>
        </w:rPr>
        <w:t xml:space="preserve">WHI PMPM payment and the WHI </w:t>
      </w:r>
      <w:r w:rsidRPr="00F704B5">
        <w:rPr>
          <w:rFonts w:asciiTheme="majorHAnsi" w:hAnsiTheme="majorHAnsi" w:cs="Arial"/>
        </w:rPr>
        <w:t xml:space="preserve">one-time capacity payment is to assist </w:t>
      </w:r>
      <w:r>
        <w:rPr>
          <w:rFonts w:asciiTheme="majorHAnsi" w:hAnsiTheme="majorHAnsi" w:cs="Arial"/>
        </w:rPr>
        <w:t>PCMH/</w:t>
      </w:r>
      <w:r w:rsidRPr="00F704B5">
        <w:rPr>
          <w:rFonts w:asciiTheme="majorHAnsi" w:hAnsiTheme="majorHAnsi" w:cs="Arial"/>
        </w:rPr>
        <w:t>WHI practices in initiating WHI strategies</w:t>
      </w:r>
      <w:r w:rsidR="00A52973">
        <w:rPr>
          <w:rFonts w:asciiTheme="majorHAnsi" w:hAnsiTheme="majorHAnsi" w:cs="Arial"/>
        </w:rPr>
        <w:t>.</w:t>
      </w:r>
    </w:p>
    <w:p w:rsidR="00A52973" w:rsidRDefault="00A52973" w:rsidP="001827AF">
      <w:pPr>
        <w:rPr>
          <w:rFonts w:asciiTheme="majorHAnsi" w:hAnsiTheme="majorHAnsi" w:cs="Arial"/>
        </w:rPr>
      </w:pPr>
    </w:p>
    <w:p w:rsidR="00A52973" w:rsidRPr="00F704B5" w:rsidRDefault="00A52973" w:rsidP="00A52973">
      <w:pPr>
        <w:rPr>
          <w:rFonts w:asciiTheme="majorHAnsi" w:hAnsiTheme="majorHAnsi"/>
        </w:rPr>
      </w:pPr>
      <w:r>
        <w:rPr>
          <w:rFonts w:asciiTheme="majorHAnsi" w:hAnsiTheme="majorHAnsi"/>
        </w:rPr>
        <w:t xml:space="preserve">The </w:t>
      </w:r>
      <w:r w:rsidRPr="00EB7399">
        <w:rPr>
          <w:rFonts w:asciiTheme="majorHAnsi" w:hAnsiTheme="majorHAnsi"/>
          <w:b/>
        </w:rPr>
        <w:t>WHI PMPM payment</w:t>
      </w:r>
      <w:r w:rsidRPr="00F704B5">
        <w:rPr>
          <w:rFonts w:asciiTheme="majorHAnsi" w:hAnsiTheme="majorHAnsi"/>
        </w:rPr>
        <w:t xml:space="preserve"> </w:t>
      </w:r>
      <w:r>
        <w:rPr>
          <w:rFonts w:asciiTheme="majorHAnsi" w:hAnsiTheme="majorHAnsi"/>
        </w:rPr>
        <w:t>provides operational support to the practices,</w:t>
      </w:r>
      <w:r w:rsidRPr="00F704B5">
        <w:rPr>
          <w:rFonts w:asciiTheme="majorHAnsi" w:hAnsiTheme="majorHAnsi"/>
        </w:rPr>
        <w:t xml:space="preserve"> including enhancing their scope of practice by implementing the WHI Strategies. The total capitated payment to providers is based on </w:t>
      </w:r>
      <w:r>
        <w:rPr>
          <w:rFonts w:asciiTheme="majorHAnsi" w:hAnsiTheme="majorHAnsi"/>
        </w:rPr>
        <w:t>successful implementation of</w:t>
      </w:r>
      <w:r w:rsidRPr="00F704B5">
        <w:rPr>
          <w:rFonts w:asciiTheme="majorHAnsi" w:hAnsiTheme="majorHAnsi"/>
        </w:rPr>
        <w:t xml:space="preserve"> the WHI Strategies in the first year with the addition of performance-based quality components of the payment in subsequent years. The WHI-participating insurer or payer will provide the enhanced WHI practice PMPM payment for all WH</w:t>
      </w:r>
      <w:r>
        <w:rPr>
          <w:rFonts w:asciiTheme="majorHAnsi" w:hAnsiTheme="majorHAnsi"/>
        </w:rPr>
        <w:t>I-attributed patients in the</w:t>
      </w:r>
      <w:r w:rsidRPr="00F704B5">
        <w:rPr>
          <w:rFonts w:asciiTheme="majorHAnsi" w:hAnsiTheme="majorHAnsi"/>
        </w:rPr>
        <w:t xml:space="preserve"> practice. </w:t>
      </w:r>
    </w:p>
    <w:p w:rsidR="00A52973" w:rsidRPr="00F704B5" w:rsidRDefault="00A52973" w:rsidP="00A52973">
      <w:pPr>
        <w:rPr>
          <w:rFonts w:asciiTheme="majorHAnsi" w:hAnsiTheme="majorHAnsi"/>
        </w:rPr>
      </w:pPr>
    </w:p>
    <w:p w:rsidR="00A52973" w:rsidRPr="00F704B5" w:rsidRDefault="00A52973" w:rsidP="00A52973">
      <w:pPr>
        <w:rPr>
          <w:rFonts w:asciiTheme="majorHAnsi" w:hAnsiTheme="majorHAnsi"/>
        </w:rPr>
      </w:pPr>
      <w:r w:rsidRPr="00F704B5">
        <w:rPr>
          <w:rFonts w:asciiTheme="majorHAnsi" w:hAnsiTheme="majorHAnsi"/>
        </w:rPr>
        <w:t>To calculate the t</w:t>
      </w:r>
      <w:r>
        <w:rPr>
          <w:rFonts w:asciiTheme="majorHAnsi" w:hAnsiTheme="majorHAnsi"/>
        </w:rPr>
        <w:t xml:space="preserve">otal amount of the WHI </w:t>
      </w:r>
      <w:r w:rsidRPr="00F704B5">
        <w:rPr>
          <w:rFonts w:asciiTheme="majorHAnsi" w:hAnsiTheme="majorHAnsi"/>
        </w:rPr>
        <w:t xml:space="preserve">PMPM payment for each practice, the WHI-participating insurer or payer will multiply the number of WHI-attributed patients in </w:t>
      </w:r>
      <w:r>
        <w:rPr>
          <w:rFonts w:asciiTheme="majorHAnsi" w:hAnsiTheme="majorHAnsi"/>
        </w:rPr>
        <w:t>the practice by the WHI</w:t>
      </w:r>
      <w:r w:rsidRPr="00F704B5">
        <w:rPr>
          <w:rFonts w:asciiTheme="majorHAnsi" w:hAnsiTheme="majorHAnsi"/>
        </w:rPr>
        <w:t xml:space="preserve"> PMPM amount.</w:t>
      </w:r>
    </w:p>
    <w:p w:rsidR="00A52973" w:rsidRPr="00F704B5" w:rsidRDefault="00A52973" w:rsidP="00A52973">
      <w:pPr>
        <w:rPr>
          <w:rFonts w:asciiTheme="majorHAnsi" w:hAnsiTheme="majorHAnsi"/>
        </w:rPr>
      </w:pPr>
    </w:p>
    <w:p w:rsidR="00A52973" w:rsidRPr="00F704B5" w:rsidRDefault="00A52973" w:rsidP="00A52973">
      <w:pPr>
        <w:rPr>
          <w:rFonts w:asciiTheme="majorHAnsi" w:hAnsiTheme="majorHAnsi"/>
        </w:rPr>
      </w:pPr>
      <w:r w:rsidRPr="00F704B5">
        <w:rPr>
          <w:rFonts w:asciiTheme="majorHAnsi" w:hAnsiTheme="majorHAnsi"/>
        </w:rPr>
        <w:t>For the first twelve (12) months of pa</w:t>
      </w:r>
      <w:r>
        <w:rPr>
          <w:rFonts w:asciiTheme="majorHAnsi" w:hAnsiTheme="majorHAnsi"/>
        </w:rPr>
        <w:t xml:space="preserve">rticipation in the program, </w:t>
      </w:r>
      <w:r w:rsidRPr="00F704B5">
        <w:rPr>
          <w:rFonts w:asciiTheme="majorHAnsi" w:hAnsiTheme="majorHAnsi"/>
        </w:rPr>
        <w:t>practices will be paid a $1.25 PMPM maximum capitated payment. Starting the second year of pa</w:t>
      </w:r>
      <w:r>
        <w:rPr>
          <w:rFonts w:asciiTheme="majorHAnsi" w:hAnsiTheme="majorHAnsi"/>
        </w:rPr>
        <w:t xml:space="preserve">rticipation in the program, </w:t>
      </w:r>
      <w:r w:rsidRPr="00F704B5">
        <w:rPr>
          <w:rFonts w:asciiTheme="majorHAnsi" w:hAnsiTheme="majorHAnsi"/>
        </w:rPr>
        <w:t xml:space="preserve">practices will be paid a base payment of $1.00 PMPM, based on their self-attestation of implementing the WHI </w:t>
      </w:r>
      <w:r>
        <w:rPr>
          <w:rFonts w:asciiTheme="majorHAnsi" w:hAnsiTheme="majorHAnsi"/>
        </w:rPr>
        <w:t xml:space="preserve">Strategies. Additionally, a </w:t>
      </w:r>
      <w:r w:rsidRPr="00F704B5">
        <w:rPr>
          <w:rFonts w:asciiTheme="majorHAnsi" w:hAnsiTheme="majorHAnsi"/>
        </w:rPr>
        <w:t xml:space="preserve">practice could earn a quality payment of up to $0.50 PMPM based on performance measures. </w:t>
      </w:r>
      <w:r>
        <w:rPr>
          <w:rFonts w:asciiTheme="majorHAnsi" w:hAnsiTheme="majorHAnsi"/>
        </w:rPr>
        <w:t xml:space="preserve"> The quality component of the WHI PMPM contains t</w:t>
      </w:r>
      <w:r>
        <w:rPr>
          <w:rFonts w:ascii="Times New Roman" w:hAnsi="Times New Roman"/>
        </w:rPr>
        <w:t>hree payment levels u</w:t>
      </w:r>
      <w:r w:rsidRPr="007678FC">
        <w:rPr>
          <w:rFonts w:ascii="Times New Roman" w:hAnsi="Times New Roman"/>
        </w:rPr>
        <w:t>p to $ 0.</w:t>
      </w:r>
      <w:r>
        <w:rPr>
          <w:rFonts w:ascii="Times New Roman" w:hAnsi="Times New Roman"/>
        </w:rPr>
        <w:t>50</w:t>
      </w:r>
      <w:r w:rsidRPr="007678FC">
        <w:rPr>
          <w:rFonts w:ascii="Times New Roman" w:hAnsi="Times New Roman"/>
        </w:rPr>
        <w:t xml:space="preserve"> PPPM </w:t>
      </w:r>
      <w:r>
        <w:rPr>
          <w:rFonts w:ascii="Times New Roman" w:hAnsi="Times New Roman"/>
        </w:rPr>
        <w:t xml:space="preserve">based on total score of the </w:t>
      </w:r>
      <w:r>
        <w:rPr>
          <w:rFonts w:ascii="Times New Roman" w:hAnsi="Times New Roman"/>
        </w:rPr>
        <w:lastRenderedPageBreak/>
        <w:t>three quality performance measures. Points for each measure are achieved through meeting or surpassing benchmarks and through improving from one twelve-month period to the next twelve-month period. Scores are reassessed every six months.</w:t>
      </w:r>
    </w:p>
    <w:p w:rsidR="00A52973" w:rsidRPr="00F704B5" w:rsidRDefault="00A52973" w:rsidP="00A52973">
      <w:pPr>
        <w:rPr>
          <w:rFonts w:asciiTheme="majorHAnsi" w:hAnsiTheme="majorHAnsi"/>
        </w:rPr>
      </w:pPr>
    </w:p>
    <w:p w:rsidR="00A52973" w:rsidRPr="00F704B5" w:rsidRDefault="00A52973" w:rsidP="00A52973">
      <w:pPr>
        <w:rPr>
          <w:rFonts w:asciiTheme="majorHAnsi" w:hAnsiTheme="majorHAnsi"/>
        </w:rPr>
      </w:pPr>
      <w:r w:rsidRPr="00F704B5">
        <w:rPr>
          <w:rFonts w:asciiTheme="majorHAnsi" w:hAnsiTheme="majorHAnsi"/>
        </w:rPr>
        <w:t xml:space="preserve">The women’s health preventive services model for </w:t>
      </w:r>
      <w:r>
        <w:rPr>
          <w:rFonts w:asciiTheme="majorHAnsi" w:hAnsiTheme="majorHAnsi"/>
        </w:rPr>
        <w:t>WHI-participating</w:t>
      </w:r>
      <w:r w:rsidRPr="00F704B5">
        <w:rPr>
          <w:rFonts w:asciiTheme="majorHAnsi" w:hAnsiTheme="majorHAnsi"/>
        </w:rPr>
        <w:t xml:space="preserve"> insurers includes the following elements: </w:t>
      </w:r>
    </w:p>
    <w:p w:rsidR="00A52973" w:rsidRPr="00F704B5" w:rsidRDefault="00A52973" w:rsidP="00515635">
      <w:pPr>
        <w:pStyle w:val="ListParagraph"/>
        <w:numPr>
          <w:ilvl w:val="0"/>
          <w:numId w:val="26"/>
        </w:numPr>
        <w:rPr>
          <w:rFonts w:asciiTheme="majorHAnsi" w:hAnsiTheme="majorHAnsi"/>
        </w:rPr>
      </w:pPr>
      <w:r w:rsidRPr="00F704B5">
        <w:rPr>
          <w:rFonts w:asciiTheme="majorHAnsi" w:hAnsiTheme="majorHAnsi"/>
        </w:rPr>
        <w:t>Base Component: First year of participation (Pilot Year) = $1.25; Subsequent Years = $1.00</w:t>
      </w:r>
    </w:p>
    <w:p w:rsidR="00A52973" w:rsidRPr="00F704B5" w:rsidRDefault="00A52973" w:rsidP="00515635">
      <w:pPr>
        <w:pStyle w:val="ListParagraph"/>
        <w:numPr>
          <w:ilvl w:val="1"/>
          <w:numId w:val="26"/>
        </w:numPr>
        <w:rPr>
          <w:rFonts w:asciiTheme="majorHAnsi" w:hAnsiTheme="majorHAnsi"/>
        </w:rPr>
      </w:pPr>
      <w:r w:rsidRPr="00F704B5">
        <w:rPr>
          <w:rFonts w:asciiTheme="majorHAnsi" w:hAnsiTheme="majorHAnsi"/>
        </w:rPr>
        <w:t>Requires successful completion of the self-attestation eligibility document</w:t>
      </w:r>
    </w:p>
    <w:p w:rsidR="00A52973" w:rsidRPr="00F704B5" w:rsidRDefault="00A52973" w:rsidP="00515635">
      <w:pPr>
        <w:pStyle w:val="ListParagraph"/>
        <w:numPr>
          <w:ilvl w:val="1"/>
          <w:numId w:val="26"/>
        </w:numPr>
        <w:rPr>
          <w:rFonts w:asciiTheme="majorHAnsi" w:hAnsiTheme="majorHAnsi"/>
        </w:rPr>
      </w:pPr>
      <w:r w:rsidRPr="00F704B5">
        <w:rPr>
          <w:rFonts w:asciiTheme="majorHAnsi" w:hAnsiTheme="majorHAnsi"/>
        </w:rPr>
        <w:t>Requires successful implementation of the WHI Strategies</w:t>
      </w:r>
      <w:r w:rsidRPr="00F704B5">
        <w:rPr>
          <w:rFonts w:asciiTheme="majorHAnsi" w:hAnsiTheme="majorHAnsi" w:cs="Arial"/>
        </w:rPr>
        <w:t xml:space="preserve">, outlined in section </w:t>
      </w:r>
      <w:r w:rsidRPr="00F704B5">
        <w:rPr>
          <w:rFonts w:asciiTheme="majorHAnsi" w:hAnsiTheme="majorHAnsi" w:cs="Arial"/>
        </w:rPr>
        <w:fldChar w:fldCharType="begin"/>
      </w:r>
      <w:r w:rsidRPr="00F704B5">
        <w:rPr>
          <w:rFonts w:asciiTheme="majorHAnsi" w:hAnsiTheme="majorHAnsi" w:cs="Arial"/>
        </w:rPr>
        <w:instrText xml:space="preserve"> REF _Ref479012870 \r \h </w:instrText>
      </w:r>
      <w:r w:rsidRPr="00F704B5">
        <w:rPr>
          <w:rFonts w:asciiTheme="majorHAnsi" w:hAnsiTheme="majorHAnsi" w:cs="Arial"/>
        </w:rPr>
      </w:r>
      <w:r w:rsidRPr="00F704B5">
        <w:rPr>
          <w:rFonts w:asciiTheme="majorHAnsi" w:hAnsiTheme="majorHAnsi" w:cs="Arial"/>
        </w:rPr>
        <w:fldChar w:fldCharType="separate"/>
      </w:r>
      <w:r w:rsidR="00143985">
        <w:rPr>
          <w:rFonts w:asciiTheme="majorHAnsi" w:hAnsiTheme="majorHAnsi" w:cs="Arial"/>
        </w:rPr>
        <w:t>6.2</w:t>
      </w:r>
      <w:r w:rsidRPr="00F704B5">
        <w:rPr>
          <w:rFonts w:asciiTheme="majorHAnsi" w:hAnsiTheme="majorHAnsi" w:cs="Arial"/>
        </w:rPr>
        <w:fldChar w:fldCharType="end"/>
      </w:r>
      <w:r w:rsidRPr="00F704B5">
        <w:rPr>
          <w:rFonts w:asciiTheme="majorHAnsi" w:hAnsiTheme="majorHAnsi" w:cs="Arial"/>
        </w:rPr>
        <w:t xml:space="preserve"> of this document</w:t>
      </w:r>
      <w:r w:rsidRPr="00F704B5">
        <w:rPr>
          <w:rFonts w:asciiTheme="majorHAnsi" w:hAnsiTheme="majorHAnsi"/>
        </w:rPr>
        <w:br/>
        <w:t xml:space="preserve">  </w:t>
      </w:r>
    </w:p>
    <w:p w:rsidR="00A52973" w:rsidRPr="00F704B5" w:rsidRDefault="00A52973" w:rsidP="00515635">
      <w:pPr>
        <w:pStyle w:val="ListParagraph"/>
        <w:numPr>
          <w:ilvl w:val="0"/>
          <w:numId w:val="26"/>
        </w:numPr>
        <w:rPr>
          <w:rFonts w:asciiTheme="majorHAnsi" w:hAnsiTheme="majorHAnsi"/>
        </w:rPr>
      </w:pPr>
      <w:r w:rsidRPr="00F704B5">
        <w:rPr>
          <w:rFonts w:asciiTheme="majorHAnsi" w:hAnsiTheme="majorHAnsi"/>
        </w:rPr>
        <w:t>Quality Performance Component (Year 2 and subsequent years):</w:t>
      </w:r>
    </w:p>
    <w:p w:rsidR="00A52973" w:rsidRDefault="00A52973" w:rsidP="00515635">
      <w:pPr>
        <w:pStyle w:val="ListParagraph"/>
        <w:numPr>
          <w:ilvl w:val="1"/>
          <w:numId w:val="26"/>
        </w:numPr>
        <w:rPr>
          <w:rFonts w:asciiTheme="majorHAnsi" w:hAnsiTheme="majorHAnsi"/>
        </w:rPr>
      </w:pPr>
      <w:r w:rsidRPr="00F704B5">
        <w:rPr>
          <w:rFonts w:asciiTheme="majorHAnsi" w:hAnsiTheme="majorHAnsi"/>
        </w:rPr>
        <w:t xml:space="preserve">Up to $ 0.50 </w:t>
      </w:r>
      <w:r>
        <w:rPr>
          <w:rFonts w:asciiTheme="majorHAnsi" w:hAnsiTheme="majorHAnsi"/>
        </w:rPr>
        <w:t>PMPM</w:t>
      </w:r>
    </w:p>
    <w:p w:rsidR="00A52973" w:rsidRPr="00F704B5" w:rsidRDefault="00A52973" w:rsidP="00515635">
      <w:pPr>
        <w:pStyle w:val="ListParagraph"/>
        <w:numPr>
          <w:ilvl w:val="1"/>
          <w:numId w:val="26"/>
        </w:numPr>
        <w:rPr>
          <w:rFonts w:asciiTheme="majorHAnsi" w:hAnsiTheme="majorHAnsi"/>
        </w:rPr>
      </w:pPr>
      <w:r>
        <w:rPr>
          <w:rFonts w:asciiTheme="majorHAnsi" w:hAnsiTheme="majorHAnsi"/>
        </w:rPr>
        <w:t>T</w:t>
      </w:r>
      <w:r>
        <w:rPr>
          <w:rFonts w:ascii="Times New Roman" w:hAnsi="Times New Roman"/>
        </w:rPr>
        <w:t>hree payment levels u</w:t>
      </w:r>
      <w:r w:rsidRPr="007678FC">
        <w:rPr>
          <w:rFonts w:ascii="Times New Roman" w:hAnsi="Times New Roman"/>
        </w:rPr>
        <w:t>p to $ 0.</w:t>
      </w:r>
      <w:r>
        <w:rPr>
          <w:rFonts w:ascii="Times New Roman" w:hAnsi="Times New Roman"/>
        </w:rPr>
        <w:t>50</w:t>
      </w:r>
      <w:r w:rsidRPr="007678FC">
        <w:rPr>
          <w:rFonts w:ascii="Times New Roman" w:hAnsi="Times New Roman"/>
        </w:rPr>
        <w:t xml:space="preserve"> PPPM </w:t>
      </w:r>
      <w:r>
        <w:rPr>
          <w:rFonts w:ascii="Times New Roman" w:hAnsi="Times New Roman"/>
        </w:rPr>
        <w:t>based on total score of the three quality performance measures. Points for each measure are achieved through meeting or surpassing benchmarks and through improving from one twelve-month period to the next twelve-month period. Scores are reassessed every six months.</w:t>
      </w:r>
      <w:r w:rsidRPr="00F704B5">
        <w:rPr>
          <w:rFonts w:asciiTheme="majorHAnsi" w:hAnsiTheme="majorHAnsi"/>
        </w:rPr>
        <w:t xml:space="preserve"> </w:t>
      </w:r>
      <w:r w:rsidRPr="00F704B5">
        <w:rPr>
          <w:rFonts w:asciiTheme="majorHAnsi" w:hAnsiTheme="majorHAnsi"/>
        </w:rPr>
        <w:br/>
      </w:r>
    </w:p>
    <w:p w:rsidR="00A52973" w:rsidRPr="00F704B5" w:rsidRDefault="00A52973" w:rsidP="00515635">
      <w:pPr>
        <w:pStyle w:val="ListParagraph"/>
        <w:numPr>
          <w:ilvl w:val="0"/>
          <w:numId w:val="26"/>
        </w:numPr>
        <w:rPr>
          <w:rFonts w:asciiTheme="majorHAnsi" w:hAnsiTheme="majorHAnsi"/>
        </w:rPr>
      </w:pPr>
      <w:r w:rsidRPr="00F704B5">
        <w:rPr>
          <w:rFonts w:asciiTheme="majorHAnsi" w:hAnsiTheme="majorHAnsi"/>
        </w:rPr>
        <w:t>Total Payment in Year 1 = $1.25</w:t>
      </w:r>
    </w:p>
    <w:p w:rsidR="00A52973" w:rsidRPr="00F704B5" w:rsidRDefault="00A52973" w:rsidP="00515635">
      <w:pPr>
        <w:pStyle w:val="ListParagraph"/>
        <w:numPr>
          <w:ilvl w:val="0"/>
          <w:numId w:val="26"/>
        </w:numPr>
        <w:rPr>
          <w:rFonts w:asciiTheme="majorHAnsi" w:hAnsiTheme="majorHAnsi"/>
        </w:rPr>
      </w:pPr>
      <w:r w:rsidRPr="00F704B5">
        <w:rPr>
          <w:rFonts w:asciiTheme="majorHAnsi" w:hAnsiTheme="majorHAnsi"/>
        </w:rPr>
        <w:t xml:space="preserve">Total Payment in Subsequent Years = $1.00 + Quality </w:t>
      </w:r>
      <w:r>
        <w:rPr>
          <w:rFonts w:asciiTheme="majorHAnsi" w:hAnsiTheme="majorHAnsi"/>
        </w:rPr>
        <w:t>Component</w:t>
      </w:r>
    </w:p>
    <w:p w:rsidR="00A52973" w:rsidRPr="00EB7399" w:rsidRDefault="00A52973" w:rsidP="00515635">
      <w:pPr>
        <w:pStyle w:val="ListParagraph"/>
        <w:numPr>
          <w:ilvl w:val="0"/>
          <w:numId w:val="26"/>
        </w:numPr>
        <w:rPr>
          <w:rFonts w:asciiTheme="majorHAnsi" w:hAnsiTheme="majorHAnsi"/>
        </w:rPr>
      </w:pPr>
      <w:r w:rsidRPr="00F704B5">
        <w:rPr>
          <w:rFonts w:asciiTheme="majorHAnsi" w:hAnsiTheme="majorHAnsi"/>
        </w:rPr>
        <w:t>Total Payment in Subsequent Years ranges from $1.00 to $1.50 PMPM</w:t>
      </w:r>
    </w:p>
    <w:p w:rsidR="00A52973" w:rsidRDefault="00A52973" w:rsidP="001827AF">
      <w:pPr>
        <w:rPr>
          <w:rFonts w:asciiTheme="majorHAnsi" w:hAnsiTheme="majorHAnsi" w:cs="Arial"/>
        </w:rPr>
      </w:pPr>
    </w:p>
    <w:p w:rsidR="001827AF" w:rsidRPr="00F704B5" w:rsidRDefault="00D62B8B" w:rsidP="001827AF">
      <w:pPr>
        <w:rPr>
          <w:rFonts w:asciiTheme="majorHAnsi" w:hAnsiTheme="majorHAnsi" w:cs="Arial"/>
        </w:rPr>
      </w:pPr>
      <w:r>
        <w:rPr>
          <w:rFonts w:asciiTheme="majorHAnsi" w:hAnsiTheme="majorHAnsi" w:cs="Arial"/>
        </w:rPr>
        <w:t xml:space="preserve">The </w:t>
      </w:r>
      <w:r w:rsidRPr="00EB7399">
        <w:rPr>
          <w:rFonts w:asciiTheme="majorHAnsi" w:hAnsiTheme="majorHAnsi" w:cs="Arial"/>
          <w:b/>
        </w:rPr>
        <w:t>WHI one-time capacity payment</w:t>
      </w:r>
      <w:r w:rsidR="001827AF" w:rsidRPr="00F704B5">
        <w:rPr>
          <w:rFonts w:asciiTheme="majorHAnsi" w:hAnsiTheme="majorHAnsi" w:cs="Arial"/>
        </w:rPr>
        <w:t xml:space="preserve"> specifically provides support to the practices </w:t>
      </w:r>
      <w:r w:rsidR="001827AF">
        <w:rPr>
          <w:rFonts w:asciiTheme="majorHAnsi" w:hAnsiTheme="majorHAnsi" w:cs="Arial"/>
        </w:rPr>
        <w:t>as they design and implement</w:t>
      </w:r>
      <w:r w:rsidR="001827AF" w:rsidRPr="00F704B5">
        <w:rPr>
          <w:rFonts w:asciiTheme="majorHAnsi" w:hAnsiTheme="majorHAnsi" w:cs="Arial"/>
        </w:rPr>
        <w:t xml:space="preserve"> processes to provide evidence-based family planning counseling on the full spectrum of birth control options, stock LARC devices, and offer</w:t>
      </w:r>
      <w:r w:rsidR="001827AF">
        <w:rPr>
          <w:rFonts w:asciiTheme="majorHAnsi" w:hAnsiTheme="majorHAnsi" w:cs="Arial"/>
        </w:rPr>
        <w:t xml:space="preserve"> </w:t>
      </w:r>
      <w:r w:rsidR="001827AF" w:rsidRPr="00F704B5">
        <w:rPr>
          <w:rFonts w:asciiTheme="majorHAnsi" w:hAnsiTheme="majorHAnsi" w:cs="Arial"/>
        </w:rPr>
        <w:t>patients who choose LARC</w:t>
      </w:r>
      <w:r w:rsidR="001827AF">
        <w:rPr>
          <w:rFonts w:asciiTheme="majorHAnsi" w:hAnsiTheme="majorHAnsi" w:cs="Arial"/>
        </w:rPr>
        <w:t xml:space="preserve"> same-day</w:t>
      </w:r>
      <w:r w:rsidR="001827AF" w:rsidRPr="00F704B5">
        <w:rPr>
          <w:rFonts w:asciiTheme="majorHAnsi" w:hAnsiTheme="majorHAnsi" w:cs="Arial"/>
        </w:rPr>
        <w:t xml:space="preserve"> insertion.  The WHI-participating insurers or payers will share the costs</w:t>
      </w:r>
      <w:r w:rsidR="001827AF">
        <w:rPr>
          <w:rFonts w:asciiTheme="majorHAnsi" w:hAnsiTheme="majorHAnsi" w:cs="Arial"/>
        </w:rPr>
        <w:t xml:space="preserve"> of</w:t>
      </w:r>
      <w:r w:rsidR="001827AF" w:rsidRPr="00F704B5">
        <w:rPr>
          <w:rFonts w:asciiTheme="majorHAnsi" w:hAnsiTheme="majorHAnsi" w:cs="Arial"/>
        </w:rPr>
        <w:t xml:space="preserve"> the capacity payment and will send their share of the costs directly to the </w:t>
      </w:r>
      <w:r w:rsidR="001827AF">
        <w:rPr>
          <w:rFonts w:asciiTheme="majorHAnsi" w:hAnsiTheme="majorHAnsi" w:cs="Arial"/>
        </w:rPr>
        <w:t>PCMH/</w:t>
      </w:r>
      <w:r w:rsidR="001827AF" w:rsidRPr="00F704B5">
        <w:rPr>
          <w:rFonts w:asciiTheme="majorHAnsi" w:hAnsiTheme="majorHAnsi" w:cs="Arial"/>
        </w:rPr>
        <w:t>WHI practices.</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04B5">
        <w:rPr>
          <w:rFonts w:asciiTheme="majorHAnsi" w:hAnsiTheme="majorHAnsi" w:cs="Arial"/>
        </w:rPr>
        <w:t xml:space="preserve">The capacity payment is a one-time per member payment (PMP) based on patient attribution to the PCMH who are women between the ages of 15 and 44 (inclusive).  It includes a </w:t>
      </w:r>
      <w:r>
        <w:rPr>
          <w:rFonts w:asciiTheme="majorHAnsi" w:hAnsiTheme="majorHAnsi" w:cs="Arial"/>
        </w:rPr>
        <w:t xml:space="preserve">capacity payment </w:t>
      </w:r>
      <w:r w:rsidRPr="00F704B5">
        <w:rPr>
          <w:rFonts w:asciiTheme="majorHAnsi" w:hAnsiTheme="majorHAnsi" w:cs="Arial"/>
        </w:rPr>
        <w:t xml:space="preserve">floor or minimum payment for smaller practices and ceiling or maximum payment for larger practices depending on the total number of attributed. The payment amount for the one-time capacity payment is also dependent on whether a practice participates in the 340B pharmacy program.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Pr>
          <w:rFonts w:asciiTheme="majorHAnsi" w:hAnsiTheme="majorHAnsi" w:cs="Arial"/>
          <w:b/>
        </w:rPr>
        <w:t xml:space="preserve">Capacity Payment </w:t>
      </w:r>
      <w:r w:rsidRPr="00F704B5">
        <w:rPr>
          <w:rFonts w:asciiTheme="majorHAnsi" w:hAnsiTheme="majorHAnsi" w:cs="Arial"/>
          <w:b/>
        </w:rPr>
        <w:t xml:space="preserve">Floor: </w:t>
      </w:r>
      <w:r w:rsidRPr="00F704B5">
        <w:rPr>
          <w:rFonts w:asciiTheme="majorHAnsi" w:hAnsiTheme="majorHAnsi" w:cs="Arial"/>
        </w:rPr>
        <w:t xml:space="preserve">The </w:t>
      </w:r>
      <w:r>
        <w:rPr>
          <w:rFonts w:asciiTheme="majorHAnsi" w:hAnsiTheme="majorHAnsi" w:cs="Arial"/>
        </w:rPr>
        <w:t xml:space="preserve">capacity payment </w:t>
      </w:r>
      <w:r w:rsidRPr="00F704B5">
        <w:rPr>
          <w:rFonts w:asciiTheme="majorHAnsi" w:hAnsiTheme="majorHAnsi" w:cs="Arial"/>
        </w:rPr>
        <w:t xml:space="preserve">floor was established based on the cost of stocking at least two hormonal and two non-hormonal IUDs, and </w:t>
      </w:r>
      <w:r>
        <w:rPr>
          <w:rFonts w:asciiTheme="majorHAnsi" w:hAnsiTheme="majorHAnsi" w:cs="Arial"/>
        </w:rPr>
        <w:t>one</w:t>
      </w:r>
      <w:r w:rsidRPr="00F704B5">
        <w:rPr>
          <w:rFonts w:asciiTheme="majorHAnsi" w:hAnsiTheme="majorHAnsi" w:cs="Arial"/>
        </w:rPr>
        <w:t xml:space="preserve"> implant. These 4 IUDs</w:t>
      </w:r>
      <w:r>
        <w:rPr>
          <w:rFonts w:asciiTheme="majorHAnsi" w:hAnsiTheme="majorHAnsi" w:cs="Arial"/>
        </w:rPr>
        <w:t xml:space="preserve"> (</w:t>
      </w:r>
      <w:r w:rsidRPr="00F704B5">
        <w:rPr>
          <w:rFonts w:asciiTheme="majorHAnsi" w:hAnsiTheme="majorHAnsi" w:cs="Arial"/>
        </w:rPr>
        <w:t>two hormonal and two non-hormonal</w:t>
      </w:r>
      <w:r>
        <w:rPr>
          <w:rFonts w:asciiTheme="majorHAnsi" w:hAnsiTheme="majorHAnsi" w:cs="Arial"/>
        </w:rPr>
        <w:t>) and one</w:t>
      </w:r>
      <w:r w:rsidRPr="00F704B5">
        <w:rPr>
          <w:rFonts w:asciiTheme="majorHAnsi" w:hAnsiTheme="majorHAnsi" w:cs="Arial"/>
        </w:rPr>
        <w:t xml:space="preserve"> implant comprise the minimum stocking requirement for WHI practices and PCMHs (see section </w:t>
      </w:r>
      <w:r w:rsidRPr="00F704B5">
        <w:rPr>
          <w:rFonts w:asciiTheme="majorHAnsi" w:hAnsiTheme="majorHAnsi" w:cs="Arial"/>
        </w:rPr>
        <w:fldChar w:fldCharType="begin"/>
      </w:r>
      <w:r w:rsidRPr="00F704B5">
        <w:rPr>
          <w:rFonts w:asciiTheme="majorHAnsi" w:hAnsiTheme="majorHAnsi" w:cs="Arial"/>
        </w:rPr>
        <w:instrText xml:space="preserve"> REF _Ref479012870 \r \h </w:instrText>
      </w:r>
      <w:r w:rsidRPr="00F704B5">
        <w:rPr>
          <w:rFonts w:asciiTheme="majorHAnsi" w:hAnsiTheme="majorHAnsi" w:cs="Arial"/>
        </w:rPr>
      </w:r>
      <w:r w:rsidRPr="00F704B5">
        <w:rPr>
          <w:rFonts w:asciiTheme="majorHAnsi" w:hAnsiTheme="majorHAnsi" w:cs="Arial"/>
        </w:rPr>
        <w:fldChar w:fldCharType="separate"/>
      </w:r>
      <w:r w:rsidR="00143985">
        <w:rPr>
          <w:rFonts w:asciiTheme="majorHAnsi" w:hAnsiTheme="majorHAnsi" w:cs="Arial"/>
        </w:rPr>
        <w:t>6.2</w:t>
      </w:r>
      <w:r w:rsidRPr="00F704B5">
        <w:rPr>
          <w:rFonts w:asciiTheme="majorHAnsi" w:hAnsiTheme="majorHAnsi" w:cs="Arial"/>
        </w:rPr>
        <w:fldChar w:fldCharType="end"/>
      </w:r>
      <w:r w:rsidRPr="00F704B5">
        <w:rPr>
          <w:rFonts w:asciiTheme="majorHAnsi" w:hAnsiTheme="majorHAnsi" w:cs="Arial"/>
        </w:rPr>
        <w:t xml:space="preserve"> WHI Strategies). The </w:t>
      </w:r>
      <w:r>
        <w:rPr>
          <w:rFonts w:asciiTheme="majorHAnsi" w:hAnsiTheme="majorHAnsi" w:cs="Arial"/>
        </w:rPr>
        <w:t xml:space="preserve">capacity </w:t>
      </w:r>
      <w:r w:rsidRPr="00F704B5">
        <w:rPr>
          <w:rFonts w:asciiTheme="majorHAnsi" w:hAnsiTheme="majorHAnsi" w:cs="Arial"/>
        </w:rPr>
        <w:t xml:space="preserve">floor or minimum payment value of the PMP is $927 for Medicaid 340B eligible practices and $5,163 for non-Medicaid 340B eligible practices.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cs="Arial"/>
        </w:rPr>
      </w:pPr>
      <w:r w:rsidRPr="00F704B5">
        <w:rPr>
          <w:rFonts w:asciiTheme="majorHAnsi" w:hAnsiTheme="majorHAnsi" w:cs="Arial"/>
          <w:b/>
        </w:rPr>
        <w:lastRenderedPageBreak/>
        <w:t xml:space="preserve">Ceiling: </w:t>
      </w:r>
      <w:r w:rsidRPr="00F704B5">
        <w:rPr>
          <w:rFonts w:asciiTheme="majorHAnsi" w:hAnsiTheme="majorHAnsi" w:cs="Arial"/>
        </w:rPr>
        <w:t xml:space="preserve">The is a ceiling based on covering the costs of stocking at least 8 of each device, yielding a total of 24 devices for each practice. The ceiling or maximum payment value of the PMP is $3,387 for Medicaid 340B eligible practices and $16,184 for non-Medicaid 340B eligible practices. </w:t>
      </w:r>
    </w:p>
    <w:p w:rsidR="001827AF" w:rsidRPr="00F704B5" w:rsidRDefault="001827AF" w:rsidP="001827AF">
      <w:pPr>
        <w:rPr>
          <w:rFonts w:asciiTheme="majorHAnsi" w:hAnsiTheme="majorHAnsi" w:cs="Arial"/>
        </w:rPr>
      </w:pPr>
    </w:p>
    <w:p w:rsidR="001827AF" w:rsidRPr="00F704B5" w:rsidRDefault="001827AF" w:rsidP="001827AF">
      <w:pPr>
        <w:rPr>
          <w:rFonts w:asciiTheme="majorHAnsi" w:hAnsiTheme="majorHAnsi"/>
        </w:rPr>
      </w:pPr>
      <w:r w:rsidRPr="00F704B5">
        <w:rPr>
          <w:rFonts w:asciiTheme="majorHAnsi" w:hAnsiTheme="majorHAnsi" w:cs="Arial"/>
        </w:rPr>
        <w:t xml:space="preserve">Between the </w:t>
      </w:r>
      <w:r>
        <w:rPr>
          <w:rFonts w:asciiTheme="majorHAnsi" w:hAnsiTheme="majorHAnsi" w:cs="Arial"/>
        </w:rPr>
        <w:t xml:space="preserve">capacity payment </w:t>
      </w:r>
      <w:r w:rsidRPr="00F704B5">
        <w:rPr>
          <w:rFonts w:asciiTheme="majorHAnsi" w:hAnsiTheme="majorHAnsi" w:cs="Arial"/>
        </w:rPr>
        <w:t>floor and ceiling</w:t>
      </w:r>
      <w:r>
        <w:rPr>
          <w:rFonts w:asciiTheme="majorHAnsi" w:hAnsiTheme="majorHAnsi" w:cs="Arial"/>
        </w:rPr>
        <w:t>,</w:t>
      </w:r>
      <w:r w:rsidRPr="00F704B5">
        <w:rPr>
          <w:rFonts w:asciiTheme="majorHAnsi" w:hAnsiTheme="majorHAnsi" w:cs="Arial"/>
        </w:rPr>
        <w:t xml:space="preserve"> commercial and Medicaid WHI-participating insurers or payers will pay $4.42 per member for Medicaid 340B eligible PC</w:t>
      </w:r>
      <w:r>
        <w:rPr>
          <w:rFonts w:asciiTheme="majorHAnsi" w:hAnsiTheme="majorHAnsi" w:cs="Arial"/>
        </w:rPr>
        <w:t>MH</w:t>
      </w:r>
      <w:r w:rsidRPr="00F704B5">
        <w:rPr>
          <w:rFonts w:asciiTheme="majorHAnsi" w:hAnsiTheme="majorHAnsi" w:cs="Arial"/>
        </w:rPr>
        <w:t>s</w:t>
      </w:r>
      <w:r>
        <w:rPr>
          <w:rFonts w:asciiTheme="majorHAnsi" w:hAnsiTheme="majorHAnsi" w:cs="Arial"/>
        </w:rPr>
        <w:t>,</w:t>
      </w:r>
      <w:r w:rsidRPr="00F704B5">
        <w:rPr>
          <w:rFonts w:asciiTheme="majorHAnsi" w:hAnsiTheme="majorHAnsi" w:cs="Arial"/>
        </w:rPr>
        <w:t xml:space="preserve"> or $11.87 per member for non-Medicaid 340B eligible PC</w:t>
      </w:r>
      <w:r>
        <w:rPr>
          <w:rFonts w:asciiTheme="majorHAnsi" w:hAnsiTheme="majorHAnsi" w:cs="Arial"/>
        </w:rPr>
        <w:t>MH</w:t>
      </w:r>
      <w:r w:rsidRPr="00F704B5">
        <w:rPr>
          <w:rFonts w:asciiTheme="majorHAnsi" w:hAnsiTheme="majorHAnsi" w:cs="Arial"/>
        </w:rPr>
        <w:t xml:space="preserve">s. </w:t>
      </w:r>
      <w:r w:rsidRPr="00F704B5">
        <w:rPr>
          <w:rFonts w:asciiTheme="majorHAnsi" w:hAnsiTheme="majorHAnsi"/>
        </w:rPr>
        <w:t xml:space="preserve">The WHI-participating insurer or payer will make the capacity payment one time, </w:t>
      </w:r>
      <w:r>
        <w:rPr>
          <w:rFonts w:asciiTheme="majorHAnsi" w:hAnsiTheme="majorHAnsi"/>
        </w:rPr>
        <w:t>when</w:t>
      </w:r>
      <w:r w:rsidRPr="00F704B5">
        <w:rPr>
          <w:rFonts w:asciiTheme="majorHAnsi" w:hAnsiTheme="majorHAnsi"/>
        </w:rPr>
        <w:t xml:space="preserve"> the PCMH joins the WHI.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cs="Arial"/>
        </w:rPr>
        <w:t xml:space="preserve">For </w:t>
      </w:r>
      <w:r>
        <w:rPr>
          <w:rFonts w:asciiTheme="majorHAnsi" w:hAnsiTheme="majorHAnsi" w:cs="Arial"/>
        </w:rPr>
        <w:t>Blueprint</w:t>
      </w:r>
      <w:r w:rsidRPr="00F704B5">
        <w:rPr>
          <w:rFonts w:asciiTheme="majorHAnsi" w:hAnsiTheme="majorHAnsi" w:cs="Arial"/>
        </w:rPr>
        <w:t xml:space="preserve"> PCMH practices whose payments are below the </w:t>
      </w:r>
      <w:r>
        <w:rPr>
          <w:rFonts w:asciiTheme="majorHAnsi" w:hAnsiTheme="majorHAnsi" w:cs="Arial"/>
        </w:rPr>
        <w:t xml:space="preserve">capacity payment </w:t>
      </w:r>
      <w:r w:rsidRPr="00F704B5">
        <w:rPr>
          <w:rFonts w:asciiTheme="majorHAnsi" w:hAnsiTheme="majorHAnsi" w:cs="Arial"/>
        </w:rPr>
        <w:t>floor or above the ceiling</w:t>
      </w:r>
      <w:r>
        <w:rPr>
          <w:rFonts w:asciiTheme="majorHAnsi" w:hAnsiTheme="majorHAnsi" w:cs="Arial"/>
        </w:rPr>
        <w:t>,</w:t>
      </w:r>
      <w:r w:rsidRPr="00F704B5">
        <w:rPr>
          <w:rFonts w:asciiTheme="majorHAnsi" w:hAnsiTheme="majorHAnsi"/>
        </w:rPr>
        <w:t xml:space="preserve"> WHI-participating insurers or payers will share in the cost, proportional to their share of the PMCH patients who are women between the ages of 15 and 44 (inclusive).  WHI-participating insurer or payer proportions will be derived from the PCMH practices’ attribution during the first month of the practices’ participation. </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r w:rsidRPr="00F704B5">
        <w:rPr>
          <w:rFonts w:asciiTheme="majorHAnsi" w:hAnsiTheme="majorHAnsi"/>
        </w:rPr>
        <w:t xml:space="preserve">If a new insurer joins the WHI, a new PMP will be calculated for the practice based on the combined attribution.  The newly participating insurer will pay the difference between the initial PMP and new PMP.  The payment </w:t>
      </w:r>
      <w:r>
        <w:rPr>
          <w:rFonts w:asciiTheme="majorHAnsi" w:hAnsiTheme="majorHAnsi"/>
        </w:rPr>
        <w:t>made</w:t>
      </w:r>
      <w:r w:rsidRPr="00F704B5">
        <w:rPr>
          <w:rFonts w:asciiTheme="majorHAnsi" w:hAnsiTheme="majorHAnsi"/>
        </w:rPr>
        <w:t xml:space="preserve"> by the newly participating insurer will not exceed the per member payment based on that insurer’s patient attribution. </w:t>
      </w:r>
    </w:p>
    <w:p w:rsidR="001827AF" w:rsidRDefault="001827AF" w:rsidP="001827AF">
      <w:pPr>
        <w:rPr>
          <w:rFonts w:asciiTheme="majorHAnsi" w:hAnsiTheme="majorHAnsi"/>
        </w:rPr>
      </w:pPr>
    </w:p>
    <w:p w:rsidR="001827AF" w:rsidRPr="00F704B5" w:rsidRDefault="001827AF" w:rsidP="001827AF">
      <w:pPr>
        <w:rPr>
          <w:rFonts w:asciiTheme="majorHAnsi" w:hAnsiTheme="majorHAnsi"/>
        </w:rPr>
      </w:pPr>
      <w:r>
        <w:rPr>
          <w:rFonts w:asciiTheme="majorHAnsi" w:hAnsiTheme="majorHAnsi"/>
        </w:rPr>
        <w:t>Practices with Both WHI and PCMH Rostered Providers: Attributed patients for all participating providers in mixed practices that includes both Blueprint PCMH and WHI providers will be combined to determine whether a practice is below the floor or above the Capacity Payment ceiling for a single practice. If the PCMH providers and WHI providers join the women’s health initiative at different times,</w:t>
      </w:r>
      <w:r w:rsidRPr="00F704B5">
        <w:rPr>
          <w:rFonts w:asciiTheme="majorHAnsi" w:hAnsiTheme="majorHAnsi"/>
        </w:rPr>
        <w:t xml:space="preserve"> a new PMP will be calculated for the practice based on the combi</w:t>
      </w:r>
      <w:r>
        <w:rPr>
          <w:rFonts w:asciiTheme="majorHAnsi" w:hAnsiTheme="majorHAnsi"/>
        </w:rPr>
        <w:t>ned attribution.  The</w:t>
      </w:r>
      <w:r w:rsidRPr="00F704B5">
        <w:rPr>
          <w:rFonts w:asciiTheme="majorHAnsi" w:hAnsiTheme="majorHAnsi"/>
        </w:rPr>
        <w:t xml:space="preserve"> </w:t>
      </w:r>
      <w:r>
        <w:rPr>
          <w:rFonts w:asciiTheme="majorHAnsi" w:hAnsiTheme="majorHAnsi"/>
        </w:rPr>
        <w:t>WHI-participating insurers</w:t>
      </w:r>
      <w:r w:rsidRPr="00F704B5">
        <w:rPr>
          <w:rFonts w:asciiTheme="majorHAnsi" w:hAnsiTheme="majorHAnsi"/>
        </w:rPr>
        <w:t xml:space="preserve"> will </w:t>
      </w:r>
      <w:r>
        <w:rPr>
          <w:rFonts w:asciiTheme="majorHAnsi" w:hAnsiTheme="majorHAnsi"/>
        </w:rPr>
        <w:t>share the cost of</w:t>
      </w:r>
      <w:r w:rsidRPr="00F704B5">
        <w:rPr>
          <w:rFonts w:asciiTheme="majorHAnsi" w:hAnsiTheme="majorHAnsi"/>
        </w:rPr>
        <w:t xml:space="preserve"> the difference between the initial PMP and new PMP</w:t>
      </w:r>
      <w:r>
        <w:rPr>
          <w:rFonts w:asciiTheme="majorHAnsi" w:hAnsiTheme="majorHAnsi"/>
        </w:rPr>
        <w:t xml:space="preserve">, </w:t>
      </w:r>
      <w:r w:rsidRPr="00F704B5">
        <w:rPr>
          <w:rFonts w:asciiTheme="majorHAnsi" w:hAnsiTheme="majorHAnsi"/>
        </w:rPr>
        <w:t xml:space="preserve">proportional to their share of the </w:t>
      </w:r>
      <w:r>
        <w:rPr>
          <w:rFonts w:asciiTheme="majorHAnsi" w:hAnsiTheme="majorHAnsi"/>
        </w:rPr>
        <w:t>attributed</w:t>
      </w:r>
      <w:r w:rsidRPr="00F704B5">
        <w:rPr>
          <w:rFonts w:asciiTheme="majorHAnsi" w:hAnsiTheme="majorHAnsi"/>
        </w:rPr>
        <w:t xml:space="preserve"> patients who are women between the ages of 15</w:t>
      </w:r>
      <w:r>
        <w:rPr>
          <w:rFonts w:asciiTheme="majorHAnsi" w:hAnsiTheme="majorHAnsi"/>
        </w:rPr>
        <w:t xml:space="preserve"> and 44 (inclusive).</w:t>
      </w:r>
    </w:p>
    <w:p w:rsidR="001827AF" w:rsidRPr="00F704B5" w:rsidRDefault="001827AF" w:rsidP="001827AF">
      <w:pPr>
        <w:rPr>
          <w:rFonts w:asciiTheme="majorHAnsi" w:hAnsiTheme="majorHAnsi"/>
        </w:rPr>
      </w:pPr>
    </w:p>
    <w:p w:rsidR="001827AF" w:rsidRPr="00F704B5" w:rsidRDefault="001827AF" w:rsidP="001827AF">
      <w:pPr>
        <w:rPr>
          <w:rFonts w:asciiTheme="majorHAnsi" w:hAnsiTheme="majorHAnsi"/>
        </w:rPr>
      </w:pPr>
    </w:p>
    <w:p w:rsidR="00BA154A" w:rsidRPr="007678FC" w:rsidRDefault="00BA154A" w:rsidP="00BA154A">
      <w:pPr>
        <w:spacing w:before="100" w:beforeAutospacing="1" w:after="100" w:afterAutospacing="1"/>
      </w:pPr>
    </w:p>
    <w:p w:rsidR="00B33EF7" w:rsidRPr="007678FC" w:rsidRDefault="00B33EF7" w:rsidP="00294476">
      <w:pPr>
        <w:spacing w:before="100" w:beforeAutospacing="1" w:after="100" w:afterAutospacing="1"/>
      </w:pPr>
    </w:p>
    <w:p w:rsidR="00B33EF7" w:rsidRPr="007678FC" w:rsidRDefault="00B33EF7" w:rsidP="00B33EF7">
      <w:pPr>
        <w:ind w:left="720"/>
      </w:pPr>
      <w:r w:rsidRPr="007678FC">
        <w:t xml:space="preserve"> </w:t>
      </w:r>
    </w:p>
    <w:p w:rsidR="00C76EC5" w:rsidRPr="007678FC" w:rsidRDefault="00C76EC5">
      <w:pPr>
        <w:rPr>
          <w:b/>
        </w:rPr>
      </w:pPr>
      <w:r w:rsidRPr="007678FC">
        <w:rPr>
          <w:b/>
        </w:rPr>
        <w:br w:type="page"/>
      </w:r>
    </w:p>
    <w:p w:rsidR="00C76EC5" w:rsidRPr="007678FC" w:rsidRDefault="00776E59" w:rsidP="0081028E">
      <w:pPr>
        <w:pStyle w:val="AppendixSubheading"/>
        <w:jc w:val="center"/>
        <w:rPr>
          <w:b/>
        </w:rPr>
      </w:pPr>
      <w:bookmarkStart w:id="136" w:name="_Toc419884343"/>
      <w:bookmarkStart w:id="137" w:name="_Toc440036738"/>
      <w:bookmarkStart w:id="138" w:name="_Toc521488618"/>
      <w:r w:rsidRPr="007678FC">
        <w:rPr>
          <w:b/>
        </w:rPr>
        <w:lastRenderedPageBreak/>
        <w:t xml:space="preserve">APPENDIX </w:t>
      </w:r>
      <w:r w:rsidR="007A6A0B" w:rsidRPr="007678FC">
        <w:rPr>
          <w:b/>
        </w:rPr>
        <w:t>1</w:t>
      </w:r>
      <w:bookmarkEnd w:id="136"/>
      <w:bookmarkEnd w:id="137"/>
      <w:bookmarkEnd w:id="138"/>
    </w:p>
    <w:p w:rsidR="00356D6A" w:rsidRPr="007678FC" w:rsidRDefault="00356D6A" w:rsidP="00356D6A">
      <w:pPr>
        <w:jc w:val="center"/>
        <w:rPr>
          <w:rFonts w:ascii="Times New Roman" w:hAnsi="Times New Roman"/>
          <w:b/>
        </w:rPr>
      </w:pPr>
      <w:r w:rsidRPr="007678FC">
        <w:rPr>
          <w:rFonts w:ascii="Times New Roman" w:hAnsi="Times New Roman"/>
          <w:b/>
        </w:rPr>
        <w:t>VHCIP Core Quality &amp; Performance Measures</w:t>
      </w:r>
      <w:r w:rsidR="00427C03">
        <w:rPr>
          <w:rFonts w:ascii="Times New Roman" w:hAnsi="Times New Roman"/>
          <w:b/>
        </w:rPr>
        <w:t xml:space="preserve"> as of 1/1/2016</w:t>
      </w:r>
    </w:p>
    <w:p w:rsidR="00356D6A" w:rsidRPr="007678FC" w:rsidRDefault="00356D6A" w:rsidP="00356D6A"/>
    <w:tbl>
      <w:tblPr>
        <w:tblW w:w="9032" w:type="dxa"/>
        <w:tblLayout w:type="fixed"/>
        <w:tblLook w:val="04A0" w:firstRow="1" w:lastRow="0" w:firstColumn="1" w:lastColumn="0" w:noHBand="0" w:noVBand="1"/>
      </w:tblPr>
      <w:tblGrid>
        <w:gridCol w:w="1243"/>
        <w:gridCol w:w="1313"/>
        <w:gridCol w:w="1520"/>
        <w:gridCol w:w="1036"/>
        <w:gridCol w:w="829"/>
        <w:gridCol w:w="3091"/>
      </w:tblGrid>
      <w:tr w:rsidR="00356D6A" w:rsidRPr="007678FC" w:rsidTr="00310A7D">
        <w:trPr>
          <w:trHeight w:val="60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Cs/>
                <w:color w:val="000000"/>
                <w:sz w:val="18"/>
                <w:szCs w:val="20"/>
              </w:rPr>
            </w:pPr>
            <w:r w:rsidRPr="007678FC">
              <w:rPr>
                <w:rFonts w:ascii="Times New Roman" w:eastAsia="Times New Roman" w:hAnsi="Times New Roman"/>
                <w:bCs/>
                <w:color w:val="000000"/>
                <w:sz w:val="18"/>
                <w:szCs w:val="20"/>
              </w:rPr>
              <w:t>VT Measure ID</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Cs/>
                <w:color w:val="000000"/>
                <w:sz w:val="18"/>
                <w:szCs w:val="20"/>
              </w:rPr>
            </w:pPr>
            <w:r w:rsidRPr="007678FC">
              <w:rPr>
                <w:rFonts w:ascii="Times New Roman" w:eastAsia="Times New Roman" w:hAnsi="Times New Roman"/>
                <w:bCs/>
                <w:color w:val="000000"/>
                <w:sz w:val="18"/>
                <w:szCs w:val="20"/>
              </w:rPr>
              <w:t>Medicare Shared Savings Program Measure ID</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Cs/>
                <w:color w:val="000000"/>
                <w:sz w:val="18"/>
                <w:szCs w:val="20"/>
              </w:rPr>
            </w:pPr>
            <w:r w:rsidRPr="007678FC">
              <w:rPr>
                <w:rFonts w:ascii="Times New Roman" w:eastAsia="Times New Roman" w:hAnsi="Times New Roman"/>
                <w:bCs/>
                <w:color w:val="000000"/>
                <w:sz w:val="18"/>
                <w:szCs w:val="20"/>
              </w:rPr>
              <w:t>Measure Name</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Cs/>
                <w:color w:val="000000"/>
                <w:sz w:val="18"/>
                <w:szCs w:val="20"/>
              </w:rPr>
            </w:pPr>
            <w:r w:rsidRPr="007678FC">
              <w:rPr>
                <w:rFonts w:ascii="Times New Roman" w:eastAsia="Times New Roman" w:hAnsi="Times New Roman"/>
                <w:bCs/>
                <w:color w:val="000000"/>
                <w:sz w:val="18"/>
                <w:szCs w:val="20"/>
              </w:rPr>
              <w:t>Nationally Recognized/Endorsed</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Cs/>
                <w:color w:val="000000"/>
                <w:sz w:val="18"/>
                <w:szCs w:val="20"/>
              </w:rPr>
            </w:pPr>
            <w:r w:rsidRPr="007678FC">
              <w:rPr>
                <w:rFonts w:ascii="Times New Roman" w:eastAsia="Times New Roman" w:hAnsi="Times New Roman"/>
                <w:bCs/>
                <w:color w:val="000000"/>
                <w:sz w:val="18"/>
                <w:szCs w:val="20"/>
              </w:rPr>
              <w:t>Included in HSA Profile?</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Cs/>
                <w:color w:val="000000"/>
                <w:sz w:val="18"/>
                <w:szCs w:val="20"/>
              </w:rPr>
            </w:pPr>
            <w:r w:rsidRPr="007678FC">
              <w:rPr>
                <w:rFonts w:ascii="Times New Roman" w:eastAsia="Times New Roman" w:hAnsi="Times New Roman"/>
                <w:bCs/>
                <w:color w:val="000000"/>
                <w:sz w:val="18"/>
                <w:szCs w:val="20"/>
              </w:rPr>
              <w:t>Measure Description</w:t>
            </w:r>
          </w:p>
        </w:tc>
      </w:tr>
      <w:tr w:rsidR="00356D6A" w:rsidRPr="007678FC" w:rsidTr="00310A7D">
        <w:trPr>
          <w:trHeight w:val="12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Core-1</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Plan All-Cause Readmissions</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NQF #1768, 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For members 18 years and older, the number of acute inpatient stays during the measurement year that were followed by an acute readmission for any diagnosis within 30 days.</w:t>
            </w:r>
          </w:p>
        </w:tc>
      </w:tr>
      <w:tr w:rsidR="00356D6A" w:rsidRPr="007678FC" w:rsidTr="00310A7D">
        <w:trPr>
          <w:trHeight w:val="9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Core-2</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Adolescent Well-Care Visit</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Pediatric</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The percentage of members 12-21 years who had at least one comprehensive well-care visit with a PCP or OB/GYN during the measurement year.</w:t>
            </w:r>
          </w:p>
        </w:tc>
      </w:tr>
      <w:tr w:rsidR="00356D6A" w:rsidRPr="007678FC" w:rsidTr="00310A7D">
        <w:trPr>
          <w:trHeight w:val="21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Core-3</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MSSP-29</w:t>
            </w: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Ischemic Vascular Disease (IVD): Complete Lipid Panel (Screening Only)</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NQF #0075, NCQA</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The percentage of members 18-75 years who were discharged alive for acute myocardial infarction, coronary artery bypass grafting, or percutaneous coronary intervention in the year prior to the measurement year or who had a diagnosis of Ischemic Vascular Disease during the measurement year and one year prior, who had LDL-C screening.</w:t>
            </w:r>
          </w:p>
        </w:tc>
      </w:tr>
      <w:tr w:rsidR="00356D6A" w:rsidRPr="007678FC" w:rsidTr="00310A7D">
        <w:trPr>
          <w:trHeight w:val="15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Core-4</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Follow-up after Hospitalization for Mental Illness, 7 Day</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NQF #0576, 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The percentage of discharges for members 6 years and older who were hospitalized for treatment of selected mental illness diagnoses and who had an outpatient visit, an intensive outpatient encounter, or partial hospitalization with a mental health practitioner.</w:t>
            </w:r>
          </w:p>
        </w:tc>
      </w:tr>
      <w:tr w:rsidR="00356D6A" w:rsidRPr="007678FC" w:rsidTr="00310A7D">
        <w:trPr>
          <w:trHeight w:val="21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Core-5</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Initiation &amp; Engagement of Alcohol and Other Drug Dependence Treatment (a) Initiation, (b) Engagement</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NQF #0004, 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 The percentage of adolescent and adult members with a new episode of alcohol or other drug (AOD) dependence who received initiation of AOD treatment within 14 days.</w:t>
            </w:r>
          </w:p>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(b) The percentage of adolescent and adult members with a new episode of alcohol or other drug (AOD) dependence who initiated treatment and had two additional services with a diagnosis of AOD within 30 days of the initiation visit.</w:t>
            </w:r>
          </w:p>
        </w:tc>
      </w:tr>
      <w:tr w:rsidR="00356D6A" w:rsidRPr="007678FC" w:rsidTr="00310A7D">
        <w:trPr>
          <w:trHeight w:val="12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Core-6</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Avoidance of Antibiotic Treatment for Adults with Acute Bronchitis</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NQF #0058, 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The percentage of adults 18-64 years with a diagnosis of acute bronchitis who were not dispensed an antibiotic.</w:t>
            </w:r>
          </w:p>
        </w:tc>
      </w:tr>
      <w:tr w:rsidR="00356D6A" w:rsidRPr="007678FC" w:rsidTr="00310A7D">
        <w:trPr>
          <w:trHeight w:val="12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Core-7</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18"/>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Chlamydia Screening in Women</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NQF #0033, 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Adult and Pediatric</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18"/>
                <w:szCs w:val="20"/>
              </w:rPr>
            </w:pPr>
            <w:r w:rsidRPr="007678FC">
              <w:rPr>
                <w:rFonts w:ascii="Times New Roman" w:eastAsia="Times New Roman" w:hAnsi="Times New Roman"/>
                <w:color w:val="000000"/>
                <w:sz w:val="18"/>
                <w:szCs w:val="20"/>
              </w:rPr>
              <w:t>The percentage of women 16-24 years who were identified as sexually active and who had at least one test for chlamydia during the measurement period.</w:t>
            </w:r>
          </w:p>
        </w:tc>
      </w:tr>
    </w:tbl>
    <w:p w:rsidR="00356D6A" w:rsidRPr="007678FC" w:rsidRDefault="00356D6A" w:rsidP="00356D6A"/>
    <w:tbl>
      <w:tblPr>
        <w:tblW w:w="9032" w:type="dxa"/>
        <w:tblLayout w:type="fixed"/>
        <w:tblLook w:val="04A0" w:firstRow="1" w:lastRow="0" w:firstColumn="1" w:lastColumn="0" w:noHBand="0" w:noVBand="1"/>
      </w:tblPr>
      <w:tblGrid>
        <w:gridCol w:w="1243"/>
        <w:gridCol w:w="1313"/>
        <w:gridCol w:w="1520"/>
        <w:gridCol w:w="1036"/>
        <w:gridCol w:w="829"/>
        <w:gridCol w:w="3091"/>
      </w:tblGrid>
      <w:tr w:rsidR="00356D6A" w:rsidRPr="007678FC" w:rsidTr="00310A7D">
        <w:trPr>
          <w:trHeight w:val="120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VT Measure ID</w:t>
            </w: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Medicare Shared Savings Program Measure ID</w:t>
            </w:r>
          </w:p>
        </w:tc>
        <w:tc>
          <w:tcPr>
            <w:tcW w:w="1520" w:type="dxa"/>
            <w:tcBorders>
              <w:top w:val="single" w:sz="4" w:space="0" w:color="auto"/>
              <w:left w:val="nil"/>
              <w:bottom w:val="single" w:sz="4" w:space="0" w:color="auto"/>
              <w:right w:val="single" w:sz="4" w:space="0" w:color="auto"/>
            </w:tcBorders>
            <w:shd w:val="clear" w:color="auto" w:fill="auto"/>
            <w:vAlign w:val="center"/>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Name</w:t>
            </w:r>
          </w:p>
        </w:tc>
        <w:tc>
          <w:tcPr>
            <w:tcW w:w="1036" w:type="dxa"/>
            <w:tcBorders>
              <w:top w:val="single" w:sz="4" w:space="0" w:color="auto"/>
              <w:left w:val="nil"/>
              <w:bottom w:val="single" w:sz="4" w:space="0" w:color="auto"/>
              <w:right w:val="single" w:sz="4" w:space="0" w:color="auto"/>
            </w:tcBorders>
            <w:shd w:val="clear" w:color="auto" w:fill="auto"/>
            <w:vAlign w:val="center"/>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Nationally Recognized/Endorsed</w:t>
            </w:r>
          </w:p>
        </w:tc>
        <w:tc>
          <w:tcPr>
            <w:tcW w:w="829" w:type="dxa"/>
            <w:tcBorders>
              <w:top w:val="single" w:sz="4" w:space="0" w:color="auto"/>
              <w:left w:val="nil"/>
              <w:bottom w:val="single" w:sz="4" w:space="0" w:color="auto"/>
              <w:right w:val="single" w:sz="4" w:space="0" w:color="auto"/>
            </w:tcBorders>
            <w:shd w:val="clear" w:color="auto" w:fill="auto"/>
            <w:vAlign w:val="center"/>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Included in HSA Profile?</w:t>
            </w:r>
          </w:p>
        </w:tc>
        <w:tc>
          <w:tcPr>
            <w:tcW w:w="3091" w:type="dxa"/>
            <w:tcBorders>
              <w:top w:val="single" w:sz="4" w:space="0" w:color="auto"/>
              <w:left w:val="nil"/>
              <w:bottom w:val="single" w:sz="4" w:space="0" w:color="auto"/>
              <w:right w:val="single" w:sz="4" w:space="0" w:color="auto"/>
            </w:tcBorders>
            <w:shd w:val="clear" w:color="auto" w:fill="auto"/>
            <w:vAlign w:val="center"/>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Description</w:t>
            </w:r>
          </w:p>
        </w:tc>
      </w:tr>
      <w:tr w:rsidR="00356D6A" w:rsidRPr="007678FC" w:rsidTr="00310A7D">
        <w:trPr>
          <w:trHeight w:val="12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Core-8</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Developmental Screening in the First Three Years of Life</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#1448</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Pediatric</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The percentage of children screened for risk of developmental, behavioral, and social delays using a standardized screening tool in the 12 months preceding their first, second, or third birthday.</w:t>
            </w:r>
          </w:p>
        </w:tc>
      </w:tr>
      <w:tr w:rsidR="00356D6A" w:rsidRPr="007678FC" w:rsidTr="00310A7D">
        <w:trPr>
          <w:trHeight w:val="21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Core-10</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MSSP-9</w:t>
            </w: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Ambulatory Sensitive Condition Admissions: Chronic Obstructive Pulmonary Disease or Asthma in Older Adults</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 xml:space="preserve">NQF, AHRQ </w:t>
            </w:r>
            <w:r w:rsidRPr="007678FC">
              <w:rPr>
                <w:rFonts w:ascii="Times New Roman" w:eastAsia="Times New Roman" w:hAnsi="Times New Roman"/>
                <w:color w:val="000000"/>
                <w:sz w:val="20"/>
                <w:szCs w:val="20"/>
              </w:rPr>
              <w:br/>
              <w:t>(Prevention Quality Indicator (PQI) #5)</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All discharges with an ICD-9-CM principal diagnosis code for COPD or asthma in adults ages 40 years and older, for ACO assigned or aligned Medicare fee-for-service (FFS) beneficiaries with COPD or asthma. This is an observed rate of discharges per 1,000 members.</w:t>
            </w:r>
          </w:p>
        </w:tc>
      </w:tr>
      <w:tr w:rsidR="00356D6A" w:rsidRPr="007678FC" w:rsidTr="00310A7D">
        <w:trPr>
          <w:trHeight w:val="12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Core-11</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MSSP-20</w:t>
            </w: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Mammography / Breast Cancer Screening</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#0031, 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The percentage of women 50-74 years who had a mammogram to screen for breast cancer in the last two years.</w:t>
            </w:r>
          </w:p>
        </w:tc>
      </w:tr>
      <w:tr w:rsidR="00356D6A" w:rsidRPr="007678FC" w:rsidTr="00310A7D">
        <w:trPr>
          <w:trHeight w:val="30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Core-12</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Rate of Hospitalization for Ambulatory Care Sensitive Conditions: PQI Chronic Composite</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 xml:space="preserve">NQF, AHRQ </w:t>
            </w:r>
            <w:r w:rsidRPr="007678FC">
              <w:rPr>
                <w:rFonts w:ascii="Times New Roman" w:eastAsia="Times New Roman" w:hAnsi="Times New Roman"/>
                <w:color w:val="000000"/>
                <w:sz w:val="20"/>
                <w:szCs w:val="20"/>
              </w:rPr>
              <w:br/>
              <w:t>(Prevention Quality Indicator (PQI) Chronic Composite)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Prevention Quality Indicators' (PQI) overall composite per 100,000 population, ages 18 years and older; includes admissions for one of the following conditions: diabetes with short-term complications, diabetes with long-term complications, uncontrolled diabetes without complications, diabetes with lower-extremity amputation, chronic obstructive pulmonary disease, asthma, hypertension, heart failure, angina without a cardiac procedure, dehydration, bacterial pneumonia, or urinary tract infection.</w:t>
            </w:r>
          </w:p>
        </w:tc>
      </w:tr>
      <w:tr w:rsidR="00356D6A" w:rsidRPr="007678FC" w:rsidTr="00310A7D">
        <w:trPr>
          <w:trHeight w:val="9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Core-13</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Appropriate Testing for Children with Pharyngitis</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#0002</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Pediatric</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children 2-18 years who were diagnosed with pharyngitis, dispensed an antibiotic and received a group A strep test for the episode.</w:t>
            </w:r>
          </w:p>
        </w:tc>
      </w:tr>
      <w:tr w:rsidR="00356D6A" w:rsidRPr="007678FC" w:rsidTr="00310A7D">
        <w:trPr>
          <w:trHeight w:val="12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Core-14</w:t>
            </w:r>
          </w:p>
        </w:tc>
        <w:tc>
          <w:tcPr>
            <w:tcW w:w="1313"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Childhood Immunization Status (Combo 10)</w:t>
            </w:r>
          </w:p>
        </w:tc>
        <w:tc>
          <w:tcPr>
            <w:tcW w:w="103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#0038, HEDIS measure</w:t>
            </w:r>
          </w:p>
        </w:tc>
        <w:tc>
          <w:tcPr>
            <w:tcW w:w="82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091"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The percentage of children 2 years of age who had each of nine key vaccinations (e.g., MMR, HiB, HepB, etc.).</w:t>
            </w:r>
          </w:p>
        </w:tc>
      </w:tr>
    </w:tbl>
    <w:p w:rsidR="00356D6A" w:rsidRPr="007678FC" w:rsidRDefault="00356D6A" w:rsidP="00356D6A">
      <w:pPr>
        <w:spacing w:after="160" w:line="259" w:lineRule="auto"/>
        <w:rPr>
          <w:rFonts w:ascii="Calibri" w:eastAsia="Calibri" w:hAnsi="Calibri"/>
        </w:rPr>
      </w:pPr>
      <w:r w:rsidRPr="007678FC">
        <w:rPr>
          <w:rFonts w:ascii="Calibri" w:eastAsia="Calibri" w:hAnsi="Calibri"/>
        </w:rPr>
        <w:br w:type="page"/>
      </w:r>
    </w:p>
    <w:tbl>
      <w:tblPr>
        <w:tblW w:w="9517" w:type="dxa"/>
        <w:tblLayout w:type="fixed"/>
        <w:tblLook w:val="04A0" w:firstRow="1" w:lastRow="0" w:firstColumn="1" w:lastColumn="0" w:noHBand="0" w:noVBand="1"/>
      </w:tblPr>
      <w:tblGrid>
        <w:gridCol w:w="1019"/>
        <w:gridCol w:w="1495"/>
        <w:gridCol w:w="1574"/>
        <w:gridCol w:w="1180"/>
        <w:gridCol w:w="944"/>
        <w:gridCol w:w="3305"/>
      </w:tblGrid>
      <w:tr w:rsidR="00356D6A" w:rsidRPr="007678FC" w:rsidTr="00310A7D">
        <w:trPr>
          <w:trHeight w:val="603"/>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lastRenderedPageBreak/>
              <w:t>VT Measure ID</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Medicare Shared Savings Program Measure ID</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Name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Nationally Recognized/Endorsed</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Included in HSA Profile?</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Description</w:t>
            </w:r>
          </w:p>
        </w:tc>
      </w:tr>
      <w:tr w:rsidR="00356D6A" w:rsidRPr="007678FC" w:rsidTr="00310A7D">
        <w:trPr>
          <w:trHeight w:val="1206"/>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Core-15</w:t>
            </w:r>
          </w:p>
        </w:tc>
        <w:tc>
          <w:tcPr>
            <w:tcW w:w="1495"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7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Pediatric Weight Assessment and Counseling</w:t>
            </w:r>
          </w:p>
        </w:tc>
        <w:tc>
          <w:tcPr>
            <w:tcW w:w="118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#0024</w:t>
            </w:r>
          </w:p>
        </w:tc>
        <w:tc>
          <w:tcPr>
            <w:tcW w:w="94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The percentage of members 3-17 years who had an outpatient visit with a PCP or OB/GYN and who had evidence of BMI percentile documentation, counseling for nutrition, and counseling for physical activity.</w:t>
            </w:r>
          </w:p>
        </w:tc>
      </w:tr>
      <w:tr w:rsidR="00356D6A" w:rsidRPr="007678FC" w:rsidTr="00310A7D">
        <w:trPr>
          <w:trHeight w:val="3617"/>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Core-16</w:t>
            </w:r>
          </w:p>
        </w:tc>
        <w:tc>
          <w:tcPr>
            <w:tcW w:w="1495"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MSSP-22,-23,-24,-25,-26</w:t>
            </w:r>
          </w:p>
        </w:tc>
        <w:tc>
          <w:tcPr>
            <w:tcW w:w="157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Diabetes Composite (D5) (All-or-Nothing Scoring): Hemoglobin A1c control (&lt;8%), LDL control (&lt;100), Blood Pressure &lt;140/90, Tobacco Non-Use, Aspirin Use</w:t>
            </w:r>
          </w:p>
        </w:tc>
        <w:tc>
          <w:tcPr>
            <w:tcW w:w="118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#0729 (composite)</w:t>
            </w:r>
          </w:p>
        </w:tc>
        <w:tc>
          <w:tcPr>
            <w:tcW w:w="94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3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 MSSP-22:  Percentage of patients 18-75 years with diabetes who had HbA1c  &lt;8% at most recent visit;                    (b) MSSP-23: Percentage of patients 18-75 years with diabetes who had LDL  &lt;100 mg/dL at most recent visit;                     (c) MSSP-24: Percentage of patients 18-75 years with diabetes who had blood pressure  &lt;140/90 at most recent visit;                                                                                               (d) MSSP-25: Percentage of patients 18-75 years with diabetes who were identified as a non-user of tobacco in measurement year;                                                                        (e) MSSP-26: Percentage of patients 18-75 years with diabetes and IVF who used aspirin daily -- Aspirin use was not included as part of the profile composite.</w:t>
            </w:r>
          </w:p>
        </w:tc>
      </w:tr>
      <w:tr w:rsidR="00356D6A" w:rsidRPr="007678FC" w:rsidTr="00310A7D">
        <w:trPr>
          <w:trHeight w:val="904"/>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Core-17</w:t>
            </w:r>
          </w:p>
        </w:tc>
        <w:tc>
          <w:tcPr>
            <w:tcW w:w="1495"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MSSP-27</w:t>
            </w:r>
          </w:p>
        </w:tc>
        <w:tc>
          <w:tcPr>
            <w:tcW w:w="157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Diabetes Mellitus: Hemoglobin A1c Poor Control (&gt;9%)</w:t>
            </w:r>
          </w:p>
        </w:tc>
        <w:tc>
          <w:tcPr>
            <w:tcW w:w="118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#0059, NCQA</w:t>
            </w:r>
          </w:p>
        </w:tc>
        <w:tc>
          <w:tcPr>
            <w:tcW w:w="94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3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18-75 years with diabetes whose HbA1c was in poor control &gt;9%.</w:t>
            </w:r>
          </w:p>
        </w:tc>
      </w:tr>
      <w:tr w:rsidR="00356D6A" w:rsidRPr="007678FC" w:rsidTr="00310A7D">
        <w:trPr>
          <w:trHeight w:val="1507"/>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Core-18</w:t>
            </w:r>
          </w:p>
        </w:tc>
        <w:tc>
          <w:tcPr>
            <w:tcW w:w="1495"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MSSP-19</w:t>
            </w:r>
          </w:p>
        </w:tc>
        <w:tc>
          <w:tcPr>
            <w:tcW w:w="157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Colorectal Cancer Screening</w:t>
            </w:r>
          </w:p>
        </w:tc>
        <w:tc>
          <w:tcPr>
            <w:tcW w:w="118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#0034, NCQA HEDIS measure</w:t>
            </w:r>
          </w:p>
        </w:tc>
        <w:tc>
          <w:tcPr>
            <w:tcW w:w="94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The percentage of members 50-75 years who had appropriate screening for colorectal cancer.</w:t>
            </w:r>
          </w:p>
        </w:tc>
      </w:tr>
      <w:tr w:rsidR="00356D6A" w:rsidRPr="007678FC" w:rsidTr="00310A7D">
        <w:trPr>
          <w:trHeight w:val="1507"/>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Core-19</w:t>
            </w:r>
          </w:p>
        </w:tc>
        <w:tc>
          <w:tcPr>
            <w:tcW w:w="1495"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MSSP-18</w:t>
            </w:r>
          </w:p>
        </w:tc>
        <w:tc>
          <w:tcPr>
            <w:tcW w:w="157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Depression Screening and Follow-Up</w:t>
            </w:r>
          </w:p>
        </w:tc>
        <w:tc>
          <w:tcPr>
            <w:tcW w:w="118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#0418, CMS</w:t>
            </w:r>
          </w:p>
        </w:tc>
        <w:tc>
          <w:tcPr>
            <w:tcW w:w="94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Patients 12 years and older who had negative screening or positive screening for depression completed in the measurement year with an age-appropriate standardized tool. Follow-up for positive screening must be documented same day as screening.</w:t>
            </w:r>
          </w:p>
        </w:tc>
      </w:tr>
    </w:tbl>
    <w:p w:rsidR="00356D6A" w:rsidRPr="007678FC" w:rsidRDefault="00356D6A" w:rsidP="00356D6A">
      <w:pPr>
        <w:spacing w:after="160" w:line="259" w:lineRule="auto"/>
        <w:rPr>
          <w:rFonts w:ascii="Calibri" w:eastAsia="Calibri" w:hAnsi="Calibri"/>
        </w:rPr>
      </w:pPr>
      <w:r w:rsidRPr="007678FC">
        <w:rPr>
          <w:rFonts w:ascii="Calibri" w:eastAsia="Calibri" w:hAnsi="Calibri"/>
        </w:rPr>
        <w:br w:type="page"/>
      </w:r>
    </w:p>
    <w:tbl>
      <w:tblPr>
        <w:tblW w:w="9714" w:type="dxa"/>
        <w:tblLayout w:type="fixed"/>
        <w:tblLook w:val="04A0" w:firstRow="1" w:lastRow="0" w:firstColumn="1" w:lastColumn="0" w:noHBand="0" w:noVBand="1"/>
      </w:tblPr>
      <w:tblGrid>
        <w:gridCol w:w="1040"/>
        <w:gridCol w:w="1526"/>
        <w:gridCol w:w="1606"/>
        <w:gridCol w:w="1205"/>
        <w:gridCol w:w="964"/>
        <w:gridCol w:w="3373"/>
      </w:tblGrid>
      <w:tr w:rsidR="00356D6A" w:rsidRPr="007678FC" w:rsidTr="00310A7D">
        <w:trPr>
          <w:trHeight w:val="7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lastRenderedPageBreak/>
              <w:t>VT Measure ID</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Medicare Shared Savings Program Measure ID</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Name</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Nationally Recognized/Endorsed</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Included in HSA Profile?</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Description</w:t>
            </w:r>
          </w:p>
        </w:tc>
      </w:tr>
      <w:tr w:rsidR="00356D6A" w:rsidRPr="007678FC" w:rsidTr="00310A7D">
        <w:trPr>
          <w:trHeight w:val="175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Core-20</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MSSP-16</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 Weight Screening and Follow-Up</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#0421, CMS</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Patients 18 years and older who had BMI calculated during the last visit in the measurement year or within the prior 6 months. In cases where the BMI is abnormal, a follow-up plan must be documented during the visit the BMI was calculated or within the prior 6 months.</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Core-21</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Access to Care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 could get appointments or answers to questions from providers when needed.</w:t>
            </w:r>
          </w:p>
        </w:tc>
      </w:tr>
      <w:tr w:rsidR="00356D6A" w:rsidRPr="007678FC" w:rsidTr="00310A7D">
        <w:trPr>
          <w:trHeight w:val="7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Core-22</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Communication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 felt they received good communication from providers.</w:t>
            </w:r>
          </w:p>
        </w:tc>
      </w:tr>
      <w:tr w:rsidR="00356D6A" w:rsidRPr="007678FC" w:rsidTr="00310A7D">
        <w:trPr>
          <w:trHeight w:val="7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Core-23</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Shared Decision-Making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whose provider helped them make decisions about prescription medications.</w:t>
            </w:r>
          </w:p>
        </w:tc>
      </w:tr>
      <w:tr w:rsidR="00356D6A" w:rsidRPr="007678FC" w:rsidTr="00310A7D">
        <w:trPr>
          <w:trHeight w:val="7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Core-24</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Self-Management Support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whose provider talked to them about specific health goals and barriers.</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Core-25</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Comprehensiveness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whose provider talked to them about depression, stress, and other mental health issues.</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Core-26</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Office Staff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 found the clerks and receptionists at their provider's office to be helpful and courteous.</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Core-27</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Information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 received information from their provider about what to do if care was needed in the off hours and reminders between visits.</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Core-28</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Coordination of Care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whose providers followed-up about test results, seemed informed about specialty care, and talked at each visit about prescription medication.</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Core-29</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Specialist Composite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NCQA Survey - percentage of patients who found it easy to get appointments with specialists and who found that their specialist seemed to know important information about their medical history.</w:t>
            </w:r>
          </w:p>
        </w:tc>
      </w:tr>
      <w:tr w:rsidR="00356D6A" w:rsidRPr="007678FC" w:rsidTr="00310A7D">
        <w:trPr>
          <w:trHeight w:val="7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lastRenderedPageBreak/>
              <w:t>VT Measure ID</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Medicare Shared Savings Program Measure ID</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Name</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Nationally Recognized/Endorsed</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Included in HSA Profile?</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Description</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Core-30</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Cervical Cancer Screening</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#0032, HEDIS measure</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The percentage of females 21-64 years who received one or more PAP tests to screen for cervical cancer in the measurement year or two years prior to the measurement year.</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Core-31</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MSSP-30</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Ischemic Vascular Disease (IVD): Use of Aspirin or Another Antithrombotic</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#0068, NCQA</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18 years and older with IVD who had documentation of using aspirin or another antithrombotic during the measurement year.</w:t>
            </w:r>
          </w:p>
        </w:tc>
      </w:tr>
      <w:tr w:rsidR="00356D6A" w:rsidRPr="007678FC" w:rsidTr="00310A7D">
        <w:trPr>
          <w:trHeight w:val="7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Core-35</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MSSP-14</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Influenza Vaccination</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NQF #0041, AMA-PCPI</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Adult</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Patients 6 months and older with an outpatient visit between October and March who received an influenza vaccine.</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Core-36</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MSSP-17</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Tobacco Use Assessment and Cessation Intervention</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#0028, AMA-PCPI</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18 years and older who had a negative tobacco screen or positive tobacco screen with cessation intervention in the two years prior to the measurement year.</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Core-38</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MSSP-32</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Drug Therapy for Lowering LDL Cholesterol</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#0074 CMS (composite) / AMA-PCPI (individual component)</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18 years and older with a diagnosis of CAD and an outpatient visit in the measurement year whose LDL-C &lt;100 mg/dL or LDL-C &gt;=100 mg/dL and who received a prescription of a statin in the measurement year.</w:t>
            </w:r>
          </w:p>
        </w:tc>
      </w:tr>
      <w:tr w:rsidR="00356D6A" w:rsidRPr="007678FC" w:rsidTr="00310A7D">
        <w:trPr>
          <w:trHeight w:val="205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Core-38</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MSSP-33</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ACE Inhibitor or ARB Therapy for Patients with CAD and Diabetes and/or LVSD</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#0074 CMS (composite) / AMA-PCPI (individual component)</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18 years and older with a diagnosis of CAD and a LVEF &lt; 40% or diagnosis of CAD and diabetes who received a prescription of ACE/ARB medication in the measurement year.</w:t>
            </w:r>
          </w:p>
        </w:tc>
      </w:tr>
      <w:tr w:rsidR="00356D6A" w:rsidRPr="007678FC" w:rsidTr="00310A7D">
        <w:trPr>
          <w:trHeight w:val="187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Core-39</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MSSP-28</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 of Beneficiaries With Hypertension Whose BP&lt;140/90 mmHg</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#0018, NCQA HEDIS measure</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18-85 years with hypertension whose BP was in control &lt;140/90 mmHg.</w:t>
            </w:r>
          </w:p>
        </w:tc>
      </w:tr>
      <w:tr w:rsidR="00356D6A" w:rsidRPr="007678FC" w:rsidTr="00310A7D">
        <w:trPr>
          <w:trHeight w:val="175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lastRenderedPageBreak/>
              <w:t>Core-40</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MSSP-21</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Screening for High Blood Pressure and Follow-Up Plan Documented</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Not NQF-endorsed; MSSP</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18 years and older seen during the measurement period who were screened for high blood pressure and a recommended follow-up plan is documented based on the current blood pressure reading as indicated.</w:t>
            </w:r>
          </w:p>
        </w:tc>
      </w:tr>
    </w:tbl>
    <w:p w:rsidR="00356D6A" w:rsidRPr="007678FC" w:rsidRDefault="00356D6A" w:rsidP="00356D6A"/>
    <w:tbl>
      <w:tblPr>
        <w:tblW w:w="9714" w:type="dxa"/>
        <w:tblLayout w:type="fixed"/>
        <w:tblLook w:val="04A0" w:firstRow="1" w:lastRow="0" w:firstColumn="1" w:lastColumn="0" w:noHBand="0" w:noVBand="1"/>
      </w:tblPr>
      <w:tblGrid>
        <w:gridCol w:w="1040"/>
        <w:gridCol w:w="1526"/>
        <w:gridCol w:w="1606"/>
        <w:gridCol w:w="1205"/>
        <w:gridCol w:w="964"/>
        <w:gridCol w:w="3373"/>
      </w:tblGrid>
      <w:tr w:rsidR="00356D6A" w:rsidRPr="007678FC" w:rsidTr="00310A7D">
        <w:trPr>
          <w:trHeight w:val="7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VT Measure ID</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Medicare Shared Savings Program Measure ID</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Name</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Nationally Recognized/Endorsed</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Included in HSA Profile?</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Description</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Core-47</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MSSP-13</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Falls: Screening for Fall Risk</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#0101</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65 years and older who had any type of falls screening in the measurement year.</w:t>
            </w:r>
          </w:p>
        </w:tc>
      </w:tr>
      <w:tr w:rsidR="00356D6A" w:rsidRPr="007678FC" w:rsidTr="00310A7D">
        <w:trPr>
          <w:trHeight w:val="7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Core-48</w:t>
            </w: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MSSP-15</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Pneumonia Vaccination (Ever Received)</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NQF #0043</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Adult</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Patients 65 years and older who had documentation of ever receiving a pneumonia vaccine.</w:t>
            </w:r>
          </w:p>
        </w:tc>
      </w:tr>
      <w:tr w:rsidR="00356D6A" w:rsidRPr="007678FC" w:rsidTr="00310A7D">
        <w:trPr>
          <w:trHeight w:val="7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CG CAHPS: Getting Timely Care, Appointments, and Information</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#0005, AHRQ</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Survey - Getting Timely Care, Appointments, and Information</w:t>
            </w:r>
          </w:p>
        </w:tc>
      </w:tr>
      <w:tr w:rsidR="00356D6A" w:rsidRPr="007678FC" w:rsidTr="00310A7D">
        <w:trPr>
          <w:trHeight w:val="7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MSSP-2</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CG CAHPS: How Well Your Doctors Communicate</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#0005, AHRQ</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Survey -  How Well Your Doctors Communicate</w:t>
            </w:r>
          </w:p>
        </w:tc>
      </w:tr>
      <w:tr w:rsidR="00356D6A" w:rsidRPr="007678FC" w:rsidTr="00310A7D">
        <w:trPr>
          <w:trHeight w:val="140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MSSP-3</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CG CAHPS: Patients’ Rating of Doctor</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#0005, AHRQ</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Survey -  Patients’ Rating of Doctor</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MSSP-4</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CG CAHPS: Access to Specialists</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#0005, AHRQ</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Survey - Access to Specialists</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MSSP-5</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CG CAHPS: Health Promotion and Education</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#0005, AHRQ</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Survey - Health Promotion and Education</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MSSP-6</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CG CAHPS: Shared Decision Making</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#0005, AHRQ</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Survey - Shared Decision Making</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MSSP-7</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CG CAHPS: Health Status / Functional Status</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#0006 , AHRQ</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Survey - Health Status/Functional Status</w:t>
            </w:r>
          </w:p>
        </w:tc>
      </w:tr>
      <w:tr w:rsidR="00356D6A" w:rsidRPr="007678FC" w:rsidTr="00310A7D">
        <w:trPr>
          <w:trHeight w:val="105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26"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MSSP-8</w:t>
            </w:r>
          </w:p>
        </w:tc>
        <w:tc>
          <w:tcPr>
            <w:tcW w:w="160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Risk-Standardized, All Condition Readmission</w:t>
            </w:r>
          </w:p>
        </w:tc>
        <w:tc>
          <w:tcPr>
            <w:tcW w:w="120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not submitted to NQF</w:t>
            </w:r>
            <w:r w:rsidRPr="007678FC">
              <w:rPr>
                <w:rFonts w:ascii="Times New Roman" w:eastAsia="Times New Roman" w:hAnsi="Times New Roman"/>
                <w:color w:val="000000"/>
                <w:sz w:val="20"/>
                <w:szCs w:val="20"/>
              </w:rPr>
              <w:br/>
              <w:t>(adapted from NQF #1789)</w:t>
            </w:r>
          </w:p>
        </w:tc>
        <w:tc>
          <w:tcPr>
            <w:tcW w:w="964"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373"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All discharges with an ICD-9-CM principal diagnosis code for COPD or asthma in adults ages 40 years and older, for ACO assigned or aligned Medicare fee-for-service (FFS) beneficiaries with COPD or asthma. This is an observed rate of discharges per 1,000 members.</w:t>
            </w:r>
          </w:p>
        </w:tc>
      </w:tr>
    </w:tbl>
    <w:p w:rsidR="00356D6A" w:rsidRPr="007678FC" w:rsidRDefault="00356D6A" w:rsidP="00356D6A">
      <w:pPr>
        <w:spacing w:after="160" w:line="259" w:lineRule="auto"/>
        <w:rPr>
          <w:rFonts w:ascii="Calibri" w:eastAsia="Calibri" w:hAnsi="Calibri"/>
        </w:rPr>
      </w:pPr>
    </w:p>
    <w:tbl>
      <w:tblPr>
        <w:tblW w:w="9472" w:type="dxa"/>
        <w:tblLayout w:type="fixed"/>
        <w:tblLook w:val="04A0" w:firstRow="1" w:lastRow="0" w:firstColumn="1" w:lastColumn="0" w:noHBand="0" w:noVBand="1"/>
      </w:tblPr>
      <w:tblGrid>
        <w:gridCol w:w="1014"/>
        <w:gridCol w:w="1488"/>
        <w:gridCol w:w="1566"/>
        <w:gridCol w:w="1175"/>
        <w:gridCol w:w="940"/>
        <w:gridCol w:w="3289"/>
      </w:tblGrid>
      <w:tr w:rsidR="00356D6A" w:rsidRPr="007678FC" w:rsidTr="00310A7D">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VT Measure ID</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Medicare Shared Savings Program Measure ID</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Name</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Nationally Recognized/Endorsed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Included in HSA Profile?</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rsidR="00356D6A" w:rsidRPr="007678FC" w:rsidRDefault="00356D6A" w:rsidP="00051242">
            <w:pPr>
              <w:jc w:val="center"/>
              <w:rPr>
                <w:rFonts w:ascii="Times New Roman" w:eastAsia="Times New Roman" w:hAnsi="Times New Roman"/>
                <w:b/>
                <w:bCs/>
                <w:color w:val="000000"/>
                <w:sz w:val="20"/>
                <w:szCs w:val="20"/>
              </w:rPr>
            </w:pPr>
            <w:r w:rsidRPr="007678FC">
              <w:rPr>
                <w:rFonts w:ascii="Times New Roman" w:eastAsia="Times New Roman" w:hAnsi="Times New Roman"/>
                <w:b/>
                <w:bCs/>
                <w:color w:val="000000"/>
                <w:sz w:val="20"/>
                <w:szCs w:val="20"/>
              </w:rPr>
              <w:t>Measure Description</w:t>
            </w:r>
          </w:p>
        </w:tc>
      </w:tr>
      <w:tr w:rsidR="00356D6A" w:rsidRPr="007678FC" w:rsidTr="00310A7D">
        <w:trPr>
          <w:trHeight w:val="904"/>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MSSP-10</w:t>
            </w:r>
          </w:p>
        </w:tc>
        <w:tc>
          <w:tcPr>
            <w:tcW w:w="156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Ambulatory Sensitive Condition Admissions: Congestive Heart Failure</w:t>
            </w:r>
          </w:p>
        </w:tc>
        <w:tc>
          <w:tcPr>
            <w:tcW w:w="117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 xml:space="preserve">NQF #0277, AHRQ </w:t>
            </w:r>
            <w:r w:rsidRPr="007678FC">
              <w:rPr>
                <w:rFonts w:ascii="Times New Roman" w:eastAsia="Times New Roman" w:hAnsi="Times New Roman"/>
                <w:color w:val="000000"/>
                <w:sz w:val="20"/>
                <w:szCs w:val="20"/>
              </w:rPr>
              <w:br/>
              <w:t>(Prevention Quality Indicator (PQI) #8)</w:t>
            </w:r>
          </w:p>
        </w:tc>
        <w:tc>
          <w:tcPr>
            <w:tcW w:w="94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28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All discharges with an ICD-9-CM principal diagnosis code for CHF in adults ages 18 years and older, for ACO assigned or aligned Medicare fee-for-service (FFS) beneficiaries with CHF. This is an observed rate of discharges per 1,000 members.</w:t>
            </w:r>
          </w:p>
        </w:tc>
      </w:tr>
      <w:tr w:rsidR="00356D6A" w:rsidRPr="007678FC" w:rsidTr="00310A7D">
        <w:trPr>
          <w:trHeight w:val="211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MSSP-11</w:t>
            </w:r>
          </w:p>
        </w:tc>
        <w:tc>
          <w:tcPr>
            <w:tcW w:w="156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 of Primary Care Physicians who Successfully Qualify for an EHR Program Incentive Payment</w:t>
            </w:r>
          </w:p>
        </w:tc>
        <w:tc>
          <w:tcPr>
            <w:tcW w:w="117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CMS EHR Incentive Program Reporting</w:t>
            </w:r>
          </w:p>
        </w:tc>
        <w:tc>
          <w:tcPr>
            <w:tcW w:w="94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28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Accountable Care Organization (ACO) primary care physicians (PCPs) who successfully qualify for either a Medicare or Medicaid Electronic Health Record (EHR) Program incentive payment.</w:t>
            </w:r>
          </w:p>
        </w:tc>
      </w:tr>
      <w:tr w:rsidR="00356D6A" w:rsidRPr="007678FC" w:rsidTr="00310A7D">
        <w:trPr>
          <w:trHeight w:val="2412"/>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MSSP-12</w:t>
            </w:r>
          </w:p>
        </w:tc>
        <w:tc>
          <w:tcPr>
            <w:tcW w:w="156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Medication Reconciliation: Reconciliation After Discharge from an Inpatient Facility</w:t>
            </w:r>
          </w:p>
        </w:tc>
        <w:tc>
          <w:tcPr>
            <w:tcW w:w="117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#0554</w:t>
            </w:r>
          </w:p>
        </w:tc>
        <w:tc>
          <w:tcPr>
            <w:tcW w:w="94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No</w:t>
            </w:r>
          </w:p>
        </w:tc>
        <w:tc>
          <w:tcPr>
            <w:tcW w:w="328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65 years and older who were discharged from any inpatient facility in the measurement year and had an outpatient visit within 30 days of the discharge who had documentation in the outpatient medical record of reconciliation of discharge medications with current outpatient medications during a visit within 30 days of discharge.</w:t>
            </w:r>
          </w:p>
        </w:tc>
      </w:tr>
      <w:tr w:rsidR="00356D6A" w:rsidRPr="007678FC" w:rsidTr="00310A7D">
        <w:trPr>
          <w:trHeight w:val="603"/>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b/>
                <w:bCs/>
                <w:color w:val="000000"/>
                <w:sz w:val="20"/>
                <w:szCs w:val="20"/>
              </w:rPr>
            </w:pPr>
          </w:p>
        </w:tc>
        <w:tc>
          <w:tcPr>
            <w:tcW w:w="1488"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MSSP-31</w:t>
            </w:r>
          </w:p>
        </w:tc>
        <w:tc>
          <w:tcPr>
            <w:tcW w:w="156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Heart Failure: Beta-Blocker Therapy for Left Ventricular Systolic Dysfunction (LVSD)</w:t>
            </w:r>
          </w:p>
        </w:tc>
        <w:tc>
          <w:tcPr>
            <w:tcW w:w="117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NQF #0083</w:t>
            </w:r>
          </w:p>
        </w:tc>
        <w:tc>
          <w:tcPr>
            <w:tcW w:w="94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No</w:t>
            </w:r>
          </w:p>
        </w:tc>
        <w:tc>
          <w:tcPr>
            <w:tcW w:w="328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b/>
                <w:bCs/>
                <w:color w:val="000000"/>
                <w:sz w:val="20"/>
                <w:szCs w:val="20"/>
              </w:rPr>
            </w:pPr>
            <w:r w:rsidRPr="007678FC">
              <w:rPr>
                <w:rFonts w:ascii="Times New Roman" w:eastAsia="Times New Roman" w:hAnsi="Times New Roman"/>
                <w:color w:val="000000"/>
                <w:sz w:val="20"/>
                <w:szCs w:val="20"/>
              </w:rPr>
              <w:t>Percentage of patients 18 years and older with a diagnosis of heart failure who also had LVSD (LVEF &lt; 40%) and who were prescribed beta-blocker therapy.</w:t>
            </w:r>
          </w:p>
        </w:tc>
      </w:tr>
      <w:tr w:rsidR="00356D6A" w:rsidRPr="007678FC" w:rsidTr="00310A7D">
        <w:trPr>
          <w:trHeight w:val="1809"/>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jc w:val="both"/>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lastRenderedPageBreak/>
              <w:t>M&amp;E-2</w:t>
            </w:r>
          </w:p>
        </w:tc>
        <w:tc>
          <w:tcPr>
            <w:tcW w:w="1488"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Comprehensive Diabetes Care: Eye Exams for Diabetics</w:t>
            </w:r>
          </w:p>
        </w:tc>
        <w:tc>
          <w:tcPr>
            <w:tcW w:w="117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#0055, HEDIS measure</w:t>
            </w:r>
          </w:p>
        </w:tc>
        <w:tc>
          <w:tcPr>
            <w:tcW w:w="94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28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with diabetes 18-75 years who received an eye exam for diabetic retinal disease during the measurement year.</w:t>
            </w:r>
          </w:p>
        </w:tc>
      </w:tr>
      <w:tr w:rsidR="00356D6A" w:rsidRPr="007678FC" w:rsidTr="00310A7D">
        <w:trPr>
          <w:trHeight w:val="211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M&amp;E-3</w:t>
            </w:r>
          </w:p>
        </w:tc>
        <w:tc>
          <w:tcPr>
            <w:tcW w:w="1488" w:type="dxa"/>
            <w:tcBorders>
              <w:top w:val="nil"/>
              <w:left w:val="nil"/>
              <w:bottom w:val="single" w:sz="4" w:space="0" w:color="auto"/>
              <w:right w:val="single" w:sz="4" w:space="0" w:color="auto"/>
            </w:tcBorders>
            <w:shd w:val="clear" w:color="auto" w:fill="auto"/>
            <w:noWrap/>
            <w:vAlign w:val="center"/>
            <w:hideMark/>
          </w:tcPr>
          <w:p w:rsidR="00356D6A" w:rsidRPr="007678FC" w:rsidRDefault="00356D6A" w:rsidP="00051242">
            <w:pPr>
              <w:rPr>
                <w:rFonts w:ascii="Times New Roman" w:eastAsia="Times New Roman" w:hAnsi="Times New Roman"/>
                <w:color w:val="000000"/>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Comprehensive Diabetes Care: Medical Attention for Nephropathy</w:t>
            </w:r>
          </w:p>
        </w:tc>
        <w:tc>
          <w:tcPr>
            <w:tcW w:w="1175"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NQF #0062, HEDIS measure</w:t>
            </w:r>
          </w:p>
        </w:tc>
        <w:tc>
          <w:tcPr>
            <w:tcW w:w="940"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Adult</w:t>
            </w:r>
          </w:p>
        </w:tc>
        <w:tc>
          <w:tcPr>
            <w:tcW w:w="3289" w:type="dxa"/>
            <w:tcBorders>
              <w:top w:val="nil"/>
              <w:left w:val="nil"/>
              <w:bottom w:val="single" w:sz="4" w:space="0" w:color="auto"/>
              <w:right w:val="single" w:sz="4" w:space="0" w:color="auto"/>
            </w:tcBorders>
            <w:shd w:val="clear" w:color="auto" w:fill="auto"/>
            <w:vAlign w:val="center"/>
            <w:hideMark/>
          </w:tcPr>
          <w:p w:rsidR="00356D6A" w:rsidRPr="007678FC" w:rsidRDefault="00356D6A" w:rsidP="00051242">
            <w:pPr>
              <w:rPr>
                <w:rFonts w:ascii="Times New Roman" w:eastAsia="Times New Roman" w:hAnsi="Times New Roman"/>
                <w:color w:val="000000"/>
                <w:sz w:val="20"/>
                <w:szCs w:val="20"/>
              </w:rPr>
            </w:pPr>
            <w:r w:rsidRPr="007678FC">
              <w:rPr>
                <w:rFonts w:ascii="Times New Roman" w:eastAsia="Times New Roman" w:hAnsi="Times New Roman"/>
                <w:color w:val="000000"/>
                <w:sz w:val="20"/>
                <w:szCs w:val="20"/>
              </w:rPr>
              <w:t>Percentage of patients with diabetes 18-75 years who received a nephropathy screening test during the measurement year.</w:t>
            </w:r>
          </w:p>
        </w:tc>
      </w:tr>
    </w:tbl>
    <w:p w:rsidR="00356D6A" w:rsidRPr="007678FC" w:rsidRDefault="00356D6A" w:rsidP="004E461A">
      <w:pPr>
        <w:jc w:val="center"/>
        <w:rPr>
          <w:rStyle w:val="AppendixSubheadingChar"/>
          <w:b/>
        </w:rPr>
      </w:pPr>
      <w:bookmarkStart w:id="139" w:name="_Toc419884344"/>
    </w:p>
    <w:p w:rsidR="00356D6A" w:rsidRPr="007678FC" w:rsidRDefault="00356D6A">
      <w:pPr>
        <w:rPr>
          <w:rStyle w:val="AppendixSubheadingChar"/>
          <w:b/>
        </w:rPr>
      </w:pPr>
      <w:r w:rsidRPr="007678FC">
        <w:rPr>
          <w:rStyle w:val="AppendixSubheadingChar"/>
          <w:b/>
        </w:rPr>
        <w:br w:type="page"/>
      </w:r>
    </w:p>
    <w:p w:rsidR="006054DD" w:rsidRPr="007678FC" w:rsidRDefault="00776E59" w:rsidP="004E461A">
      <w:pPr>
        <w:jc w:val="center"/>
        <w:rPr>
          <w:b/>
        </w:rPr>
      </w:pPr>
      <w:bookmarkStart w:id="140" w:name="_Toc440036739"/>
      <w:bookmarkStart w:id="141" w:name="_Toc521488619"/>
      <w:r w:rsidRPr="007678FC">
        <w:rPr>
          <w:rStyle w:val="AppendixSubheadingChar"/>
          <w:b/>
        </w:rPr>
        <w:lastRenderedPageBreak/>
        <w:t xml:space="preserve">APPENDIX </w:t>
      </w:r>
      <w:r w:rsidR="007A6A0B" w:rsidRPr="007678FC">
        <w:rPr>
          <w:rStyle w:val="AppendixSubheadingChar"/>
          <w:b/>
        </w:rPr>
        <w:t>2</w:t>
      </w:r>
      <w:bookmarkEnd w:id="139"/>
      <w:bookmarkEnd w:id="140"/>
      <w:bookmarkEnd w:id="141"/>
    </w:p>
    <w:p w:rsidR="006054DD" w:rsidRPr="007678FC" w:rsidRDefault="006054DD" w:rsidP="006054DD">
      <w:pPr>
        <w:jc w:val="center"/>
        <w:rPr>
          <w:rFonts w:eastAsia="Times"/>
          <w:b/>
        </w:rPr>
      </w:pPr>
      <w:r w:rsidRPr="007678FC">
        <w:rPr>
          <w:rFonts w:eastAsia="Times"/>
          <w:b/>
        </w:rPr>
        <w:t xml:space="preserve">VERMONT BLUEPRINT </w:t>
      </w:r>
      <w:r w:rsidR="001A47E5" w:rsidRPr="007678FC">
        <w:rPr>
          <w:rFonts w:eastAsia="Times"/>
          <w:b/>
        </w:rPr>
        <w:t>PRACTICE</w:t>
      </w:r>
    </w:p>
    <w:p w:rsidR="006054DD" w:rsidRPr="007678FC" w:rsidRDefault="006054DD" w:rsidP="006054DD">
      <w:pPr>
        <w:jc w:val="center"/>
        <w:rPr>
          <w:rFonts w:eastAsia="Times"/>
          <w:b/>
          <w:caps/>
        </w:rPr>
      </w:pPr>
      <w:r w:rsidRPr="007678FC">
        <w:rPr>
          <w:rFonts w:eastAsia="Times"/>
          <w:b/>
        </w:rPr>
        <w:t xml:space="preserve">TOTAL UNIQUE </w:t>
      </w:r>
      <w:smartTag w:uri="urn:schemas-microsoft-com:office:smarttags" w:element="State">
        <w:smartTag w:uri="urn:schemas-microsoft-com:office:smarttags" w:element="place">
          <w:r w:rsidRPr="007678FC">
            <w:rPr>
              <w:rFonts w:eastAsia="Times"/>
              <w:b/>
            </w:rPr>
            <w:t>VERMONT</w:t>
          </w:r>
        </w:smartTag>
      </w:smartTag>
      <w:r w:rsidRPr="007678FC">
        <w:rPr>
          <w:rFonts w:eastAsia="Times"/>
          <w:b/>
        </w:rPr>
        <w:t xml:space="preserve"> PATIENTS</w:t>
      </w:r>
      <w:r w:rsidRPr="007678FC">
        <w:rPr>
          <w:rFonts w:eastAsia="Times"/>
          <w:b/>
          <w:caps/>
        </w:rPr>
        <w:t xml:space="preserve"> Algorithm</w:t>
      </w:r>
    </w:p>
    <w:p w:rsidR="006054DD" w:rsidRPr="007678FC" w:rsidRDefault="006054DD" w:rsidP="006054DD">
      <w:pPr>
        <w:ind w:left="360"/>
        <w:rPr>
          <w:rFonts w:eastAsia="Times"/>
          <w:b/>
        </w:rPr>
      </w:pPr>
    </w:p>
    <w:p w:rsidR="006054DD" w:rsidRPr="007678FC" w:rsidRDefault="006054DD" w:rsidP="00F46B28">
      <w:pPr>
        <w:numPr>
          <w:ilvl w:val="0"/>
          <w:numId w:val="9"/>
        </w:numPr>
        <w:contextualSpacing/>
        <w:rPr>
          <w:rFonts w:eastAsia="Times"/>
        </w:rPr>
      </w:pPr>
      <w:r w:rsidRPr="007678FC">
        <w:rPr>
          <w:rFonts w:eastAsia="Times"/>
        </w:rPr>
        <w:t>The look back period is the most recent 24 months for which claims are available.</w:t>
      </w:r>
    </w:p>
    <w:p w:rsidR="006054DD" w:rsidRPr="007678FC" w:rsidRDefault="006054DD" w:rsidP="006054DD">
      <w:pPr>
        <w:ind w:left="360"/>
        <w:contextualSpacing/>
        <w:rPr>
          <w:rFonts w:eastAsia="Times"/>
        </w:rPr>
      </w:pPr>
    </w:p>
    <w:p w:rsidR="006054DD" w:rsidRPr="007678FC" w:rsidRDefault="006054DD" w:rsidP="00F46B28">
      <w:pPr>
        <w:numPr>
          <w:ilvl w:val="0"/>
          <w:numId w:val="9"/>
        </w:numPr>
        <w:contextualSpacing/>
        <w:rPr>
          <w:rFonts w:eastAsia="Times"/>
        </w:rPr>
      </w:pPr>
      <w:r w:rsidRPr="007678FC">
        <w:rPr>
          <w:rFonts w:eastAsia="Times"/>
        </w:rPr>
        <w:t xml:space="preserve">Identify all patients who are </w:t>
      </w:r>
      <w:smartTag w:uri="urn:schemas-microsoft-com:office:smarttags" w:element="State">
        <w:smartTag w:uri="urn:schemas-microsoft-com:office:smarttags" w:element="place">
          <w:r w:rsidRPr="007678FC">
            <w:rPr>
              <w:rFonts w:eastAsia="Times"/>
            </w:rPr>
            <w:t>Vermont</w:t>
          </w:r>
        </w:smartTag>
      </w:smartTag>
      <w:r w:rsidRPr="007678FC">
        <w:rPr>
          <w:rFonts w:eastAsia="Times"/>
        </w:rPr>
        <w:t xml:space="preserve"> residents. </w:t>
      </w:r>
    </w:p>
    <w:p w:rsidR="006054DD" w:rsidRPr="007678FC" w:rsidRDefault="006054DD" w:rsidP="006054DD">
      <w:pPr>
        <w:ind w:left="1620"/>
        <w:rPr>
          <w:rFonts w:eastAsia="Times"/>
        </w:rPr>
      </w:pPr>
    </w:p>
    <w:p w:rsidR="006054DD" w:rsidRPr="007678FC" w:rsidRDefault="006054DD" w:rsidP="00F46B28">
      <w:pPr>
        <w:numPr>
          <w:ilvl w:val="0"/>
          <w:numId w:val="10"/>
        </w:numPr>
        <w:tabs>
          <w:tab w:val="left" w:pos="720"/>
        </w:tabs>
        <w:ind w:left="720"/>
        <w:contextualSpacing/>
        <w:rPr>
          <w:rFonts w:eastAsia="Times"/>
          <w:u w:val="single"/>
        </w:rPr>
      </w:pPr>
      <w:r w:rsidRPr="007678FC">
        <w:rPr>
          <w:rFonts w:eastAsia="Times"/>
        </w:rPr>
        <w:t xml:space="preserve">Identify the number of </w:t>
      </w:r>
      <w:smartTag w:uri="urn:schemas-microsoft-com:office:smarttags" w:element="State">
        <w:smartTag w:uri="urn:schemas-microsoft-com:office:smarttags" w:element="place">
          <w:r w:rsidRPr="007678FC">
            <w:rPr>
              <w:rFonts w:eastAsia="Times"/>
            </w:rPr>
            <w:t>Vermont</w:t>
          </w:r>
        </w:smartTag>
      </w:smartTag>
      <w:r w:rsidRPr="007678FC">
        <w:rPr>
          <w:rFonts w:eastAsia="Times"/>
        </w:rPr>
        <w:t xml:space="preserve"> patients who had at least one visit to a primary care provider in the practice with one or more of the following qualifying CPT Codes during the look back period (most recent 24 months).</w:t>
      </w:r>
    </w:p>
    <w:p w:rsidR="006054DD" w:rsidRPr="007678FC" w:rsidRDefault="006054DD" w:rsidP="006054DD">
      <w:pPr>
        <w:jc w:val="center"/>
        <w:rPr>
          <w:b/>
          <w:lang w:val="fr-FR"/>
        </w:rPr>
      </w:pPr>
    </w:p>
    <w:p w:rsidR="006054DD" w:rsidRPr="007678FC" w:rsidRDefault="006054DD" w:rsidP="006054DD">
      <w:pPr>
        <w:jc w:val="center"/>
        <w:rPr>
          <w:b/>
          <w:lang w:val="fr-FR"/>
        </w:rPr>
      </w:pPr>
    </w:p>
    <w:tbl>
      <w:tblPr>
        <w:tblW w:w="846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0"/>
      </w:tblGrid>
      <w:tr w:rsidR="006054DD" w:rsidRPr="007678FC" w:rsidTr="00310A7D">
        <w:trPr>
          <w:cantSplit/>
          <w:tblHeader/>
        </w:trPr>
        <w:tc>
          <w:tcPr>
            <w:tcW w:w="8460" w:type="dxa"/>
            <w:shd w:val="clear" w:color="auto" w:fill="D6E3BC"/>
            <w:vAlign w:val="bottom"/>
          </w:tcPr>
          <w:p w:rsidR="006054DD" w:rsidRPr="007678FC" w:rsidRDefault="006054DD" w:rsidP="002A1ACF">
            <w:pPr>
              <w:jc w:val="center"/>
              <w:rPr>
                <w:b/>
                <w:bCs/>
              </w:rPr>
            </w:pPr>
            <w:r w:rsidRPr="007678FC">
              <w:rPr>
                <w:b/>
                <w:bCs/>
              </w:rPr>
              <w:t>CPT-4 Code Description Summary</w:t>
            </w:r>
          </w:p>
        </w:tc>
      </w:tr>
      <w:tr w:rsidR="006054DD" w:rsidRPr="007678FC" w:rsidTr="00310A7D">
        <w:tc>
          <w:tcPr>
            <w:tcW w:w="8460" w:type="dxa"/>
            <w:vAlign w:val="bottom"/>
          </w:tcPr>
          <w:p w:rsidR="006054DD" w:rsidRPr="007678FC" w:rsidRDefault="006054DD" w:rsidP="002A1ACF">
            <w:pPr>
              <w:rPr>
                <w:b/>
                <w:bCs/>
              </w:rPr>
            </w:pPr>
            <w:r w:rsidRPr="007678FC">
              <w:rPr>
                <w:b/>
                <w:bCs/>
              </w:rPr>
              <w:t>Evaluation and Management - Office or Other Outpatient Services</w:t>
            </w:r>
          </w:p>
          <w:p w:rsidR="006054DD" w:rsidRPr="007678FC" w:rsidRDefault="006054DD" w:rsidP="00F46B28">
            <w:pPr>
              <w:numPr>
                <w:ilvl w:val="2"/>
                <w:numId w:val="4"/>
              </w:numPr>
              <w:rPr>
                <w:rFonts w:eastAsia="Times"/>
              </w:rPr>
            </w:pPr>
            <w:r w:rsidRPr="007678FC">
              <w:rPr>
                <w:rFonts w:eastAsia="Times"/>
              </w:rPr>
              <w:t>New Patient:  99201-99205</w:t>
            </w:r>
          </w:p>
          <w:p w:rsidR="006054DD" w:rsidRPr="007678FC" w:rsidRDefault="006054DD" w:rsidP="00F46B28">
            <w:pPr>
              <w:numPr>
                <w:ilvl w:val="2"/>
                <w:numId w:val="4"/>
              </w:numPr>
              <w:rPr>
                <w:rFonts w:eastAsia="Times"/>
              </w:rPr>
            </w:pPr>
            <w:r w:rsidRPr="007678FC">
              <w:rPr>
                <w:rFonts w:eastAsia="Times"/>
              </w:rPr>
              <w:t>Established Patient:  99211-99215</w:t>
            </w:r>
          </w:p>
        </w:tc>
      </w:tr>
      <w:tr w:rsidR="006054DD" w:rsidRPr="007678FC" w:rsidTr="00310A7D">
        <w:tc>
          <w:tcPr>
            <w:tcW w:w="8460" w:type="dxa"/>
            <w:vAlign w:val="bottom"/>
          </w:tcPr>
          <w:p w:rsidR="006054DD" w:rsidRPr="007678FC" w:rsidRDefault="006054DD" w:rsidP="002A1ACF">
            <w:pPr>
              <w:rPr>
                <w:b/>
                <w:bCs/>
              </w:rPr>
            </w:pPr>
            <w:r w:rsidRPr="007678FC">
              <w:rPr>
                <w:b/>
                <w:bCs/>
              </w:rPr>
              <w:t>Consultations - Office or Other Outpatient Consultations</w:t>
            </w:r>
          </w:p>
          <w:p w:rsidR="006054DD" w:rsidRPr="007678FC" w:rsidRDefault="006054DD" w:rsidP="00F46B28">
            <w:pPr>
              <w:numPr>
                <w:ilvl w:val="0"/>
                <w:numId w:val="5"/>
              </w:numPr>
              <w:rPr>
                <w:rFonts w:eastAsia="Times"/>
              </w:rPr>
            </w:pPr>
            <w:r w:rsidRPr="007678FC">
              <w:rPr>
                <w:rFonts w:eastAsia="Times"/>
              </w:rPr>
              <w:t>New or Established Patient:  99241-99245</w:t>
            </w:r>
          </w:p>
        </w:tc>
      </w:tr>
      <w:tr w:rsidR="006054DD" w:rsidRPr="007678FC" w:rsidTr="00310A7D">
        <w:tc>
          <w:tcPr>
            <w:tcW w:w="8460" w:type="dxa"/>
            <w:vAlign w:val="bottom"/>
          </w:tcPr>
          <w:p w:rsidR="006054DD" w:rsidRPr="007678FC" w:rsidRDefault="006054DD" w:rsidP="002A1ACF">
            <w:pPr>
              <w:rPr>
                <w:b/>
                <w:bCs/>
              </w:rPr>
            </w:pPr>
            <w:r w:rsidRPr="007678FC">
              <w:rPr>
                <w:b/>
                <w:bCs/>
              </w:rPr>
              <w:t>Nursing Facility Services:</w:t>
            </w:r>
          </w:p>
          <w:p w:rsidR="006054DD" w:rsidRPr="007678FC" w:rsidRDefault="006054DD" w:rsidP="00F46B28">
            <w:pPr>
              <w:numPr>
                <w:ilvl w:val="0"/>
                <w:numId w:val="6"/>
              </w:numPr>
              <w:rPr>
                <w:rFonts w:eastAsia="Times"/>
              </w:rPr>
            </w:pPr>
            <w:r w:rsidRPr="007678FC">
              <w:rPr>
                <w:rFonts w:eastAsia="Times"/>
              </w:rPr>
              <w:t>E &amp; M New/Established patient:  99304-99306</w:t>
            </w:r>
          </w:p>
          <w:p w:rsidR="006054DD" w:rsidRPr="007678FC" w:rsidRDefault="006054DD" w:rsidP="00F46B28">
            <w:pPr>
              <w:numPr>
                <w:ilvl w:val="0"/>
                <w:numId w:val="6"/>
              </w:numPr>
              <w:rPr>
                <w:rFonts w:eastAsia="Times"/>
                <w:b/>
                <w:bCs/>
                <w:noProof/>
              </w:rPr>
            </w:pPr>
            <w:r w:rsidRPr="007678FC">
              <w:rPr>
                <w:rFonts w:eastAsia="Times"/>
              </w:rPr>
              <w:t>Subsequent Nursing Facility Care:  99307-99310</w:t>
            </w:r>
          </w:p>
        </w:tc>
      </w:tr>
      <w:tr w:rsidR="006054DD" w:rsidRPr="007678FC" w:rsidTr="00310A7D">
        <w:trPr>
          <w:trHeight w:val="323"/>
        </w:trPr>
        <w:tc>
          <w:tcPr>
            <w:tcW w:w="8460" w:type="dxa"/>
            <w:vAlign w:val="bottom"/>
          </w:tcPr>
          <w:p w:rsidR="006054DD" w:rsidRPr="007678FC" w:rsidRDefault="006054DD" w:rsidP="002A1ACF">
            <w:pPr>
              <w:rPr>
                <w:b/>
                <w:bCs/>
              </w:rPr>
            </w:pPr>
            <w:r w:rsidRPr="007678FC">
              <w:rPr>
                <w:b/>
                <w:bCs/>
              </w:rPr>
              <w:t>Domiciliary, Rest Home (e.g., Boarding Home), or Custodial Care Service:</w:t>
            </w:r>
          </w:p>
          <w:p w:rsidR="006054DD" w:rsidRPr="007678FC" w:rsidRDefault="006054DD" w:rsidP="00F46B28">
            <w:pPr>
              <w:numPr>
                <w:ilvl w:val="0"/>
                <w:numId w:val="7"/>
              </w:numPr>
              <w:rPr>
                <w:rFonts w:eastAsia="Times"/>
              </w:rPr>
            </w:pPr>
            <w:r w:rsidRPr="007678FC">
              <w:rPr>
                <w:rFonts w:eastAsia="Times"/>
              </w:rPr>
              <w:t>Domiciliary or Rest Home Visit New Patient:  99324-99328</w:t>
            </w:r>
          </w:p>
          <w:p w:rsidR="006054DD" w:rsidRPr="007678FC" w:rsidRDefault="006054DD" w:rsidP="00F46B28">
            <w:pPr>
              <w:numPr>
                <w:ilvl w:val="0"/>
                <w:numId w:val="7"/>
              </w:numPr>
              <w:rPr>
                <w:rFonts w:eastAsia="Times"/>
                <w:b/>
                <w:bCs/>
                <w:color w:val="FF0000"/>
              </w:rPr>
            </w:pPr>
            <w:r w:rsidRPr="007678FC">
              <w:rPr>
                <w:rFonts w:eastAsia="Times"/>
              </w:rPr>
              <w:t>Domiciliary or Rest Home Visit Established Patient:  99334-99337</w:t>
            </w:r>
          </w:p>
        </w:tc>
      </w:tr>
      <w:tr w:rsidR="006054DD" w:rsidRPr="007678FC" w:rsidTr="00310A7D">
        <w:tc>
          <w:tcPr>
            <w:tcW w:w="8460" w:type="dxa"/>
            <w:vAlign w:val="bottom"/>
          </w:tcPr>
          <w:p w:rsidR="006054DD" w:rsidRPr="007678FC" w:rsidRDefault="006054DD" w:rsidP="002A1ACF">
            <w:pPr>
              <w:rPr>
                <w:b/>
                <w:bCs/>
              </w:rPr>
            </w:pPr>
            <w:r w:rsidRPr="007678FC">
              <w:rPr>
                <w:b/>
                <w:bCs/>
              </w:rPr>
              <w:t>Home Services</w:t>
            </w:r>
          </w:p>
          <w:p w:rsidR="006054DD" w:rsidRPr="007678FC" w:rsidRDefault="006054DD" w:rsidP="00F46B28">
            <w:pPr>
              <w:numPr>
                <w:ilvl w:val="2"/>
                <w:numId w:val="4"/>
              </w:numPr>
              <w:rPr>
                <w:rFonts w:eastAsia="Times"/>
              </w:rPr>
            </w:pPr>
            <w:r w:rsidRPr="007678FC">
              <w:rPr>
                <w:rFonts w:eastAsia="Times"/>
              </w:rPr>
              <w:t>New Patient:  99341-99345</w:t>
            </w:r>
          </w:p>
          <w:p w:rsidR="006054DD" w:rsidRPr="007678FC" w:rsidRDefault="006054DD" w:rsidP="00F46B28">
            <w:pPr>
              <w:numPr>
                <w:ilvl w:val="2"/>
                <w:numId w:val="4"/>
              </w:numPr>
              <w:rPr>
                <w:rFonts w:eastAsia="Times"/>
              </w:rPr>
            </w:pPr>
            <w:r w:rsidRPr="007678FC">
              <w:rPr>
                <w:rFonts w:eastAsia="Times"/>
              </w:rPr>
              <w:t>Established Patient:  99347-99350</w:t>
            </w:r>
          </w:p>
          <w:p w:rsidR="006054DD" w:rsidRPr="007678FC" w:rsidRDefault="006054DD" w:rsidP="002A1ACF">
            <w:pPr>
              <w:rPr>
                <w:rFonts w:eastAsia="Times"/>
              </w:rPr>
            </w:pPr>
          </w:p>
        </w:tc>
      </w:tr>
      <w:tr w:rsidR="006054DD" w:rsidRPr="007678FC" w:rsidTr="00310A7D">
        <w:tc>
          <w:tcPr>
            <w:tcW w:w="8460" w:type="dxa"/>
            <w:vAlign w:val="bottom"/>
          </w:tcPr>
          <w:p w:rsidR="006054DD" w:rsidRPr="007678FC" w:rsidRDefault="006054DD" w:rsidP="002A1ACF">
            <w:pPr>
              <w:rPr>
                <w:rFonts w:eastAsia="Times"/>
                <w:b/>
                <w:bCs/>
              </w:rPr>
            </w:pPr>
            <w:r w:rsidRPr="007678FC">
              <w:rPr>
                <w:rFonts w:eastAsia="Times"/>
                <w:b/>
                <w:bCs/>
              </w:rPr>
              <w:t>Prolonged Services – Prolonged Physician Service With Direct (Face-to-Face) Patient Contact</w:t>
            </w:r>
          </w:p>
          <w:p w:rsidR="006054DD" w:rsidRPr="007678FC" w:rsidRDefault="006054DD" w:rsidP="00F46B28">
            <w:pPr>
              <w:numPr>
                <w:ilvl w:val="0"/>
                <w:numId w:val="6"/>
              </w:numPr>
              <w:rPr>
                <w:rFonts w:eastAsia="Times"/>
                <w:b/>
                <w:bCs/>
              </w:rPr>
            </w:pPr>
            <w:r w:rsidRPr="007678FC">
              <w:rPr>
                <w:rFonts w:eastAsia="Times"/>
              </w:rPr>
              <w:t>99354 and 99355</w:t>
            </w:r>
          </w:p>
        </w:tc>
      </w:tr>
      <w:tr w:rsidR="006054DD" w:rsidRPr="007678FC" w:rsidTr="00310A7D">
        <w:trPr>
          <w:trHeight w:val="70"/>
        </w:trPr>
        <w:tc>
          <w:tcPr>
            <w:tcW w:w="8460" w:type="dxa"/>
            <w:vAlign w:val="bottom"/>
          </w:tcPr>
          <w:p w:rsidR="006054DD" w:rsidRPr="007678FC" w:rsidRDefault="006054DD" w:rsidP="002A1ACF">
            <w:pPr>
              <w:rPr>
                <w:rFonts w:eastAsia="Times"/>
                <w:b/>
                <w:bCs/>
              </w:rPr>
            </w:pPr>
            <w:r w:rsidRPr="007678FC">
              <w:rPr>
                <w:rFonts w:eastAsia="Times"/>
                <w:b/>
                <w:bCs/>
              </w:rPr>
              <w:t>Prolonged Services – Prolonged Physician Service Without  Direct (Face-to-Face) Patient Contact</w:t>
            </w:r>
          </w:p>
          <w:p w:rsidR="006054DD" w:rsidRPr="007678FC" w:rsidRDefault="006054DD" w:rsidP="00F46B28">
            <w:pPr>
              <w:numPr>
                <w:ilvl w:val="0"/>
                <w:numId w:val="6"/>
              </w:numPr>
              <w:rPr>
                <w:rFonts w:eastAsia="Times"/>
                <w:b/>
                <w:bCs/>
              </w:rPr>
            </w:pPr>
            <w:r w:rsidRPr="007678FC">
              <w:rPr>
                <w:rFonts w:eastAsia="Times"/>
              </w:rPr>
              <w:t>99358 and 99359</w:t>
            </w:r>
          </w:p>
        </w:tc>
      </w:tr>
      <w:tr w:rsidR="006054DD" w:rsidRPr="007678FC" w:rsidTr="00310A7D">
        <w:tc>
          <w:tcPr>
            <w:tcW w:w="8460" w:type="dxa"/>
            <w:vAlign w:val="bottom"/>
          </w:tcPr>
          <w:p w:rsidR="006054DD" w:rsidRPr="007678FC" w:rsidRDefault="006054DD" w:rsidP="002A1ACF">
            <w:pPr>
              <w:rPr>
                <w:b/>
                <w:bCs/>
              </w:rPr>
            </w:pPr>
            <w:r w:rsidRPr="007678FC">
              <w:rPr>
                <w:b/>
                <w:bCs/>
              </w:rPr>
              <w:t>Preventive Medicine Services</w:t>
            </w:r>
          </w:p>
          <w:p w:rsidR="006054DD" w:rsidRPr="007678FC" w:rsidRDefault="006054DD" w:rsidP="00F46B28">
            <w:pPr>
              <w:numPr>
                <w:ilvl w:val="2"/>
                <w:numId w:val="4"/>
              </w:numPr>
              <w:rPr>
                <w:rFonts w:eastAsia="Times"/>
              </w:rPr>
            </w:pPr>
            <w:r w:rsidRPr="007678FC">
              <w:rPr>
                <w:rFonts w:eastAsia="Times"/>
              </w:rPr>
              <w:t>New Patient:  99381–99387</w:t>
            </w:r>
          </w:p>
          <w:p w:rsidR="006054DD" w:rsidRPr="007678FC" w:rsidRDefault="006054DD" w:rsidP="00F46B28">
            <w:pPr>
              <w:numPr>
                <w:ilvl w:val="2"/>
                <w:numId w:val="4"/>
              </w:numPr>
              <w:rPr>
                <w:rFonts w:eastAsia="Times"/>
                <w:b/>
                <w:bCs/>
                <w:noProof/>
              </w:rPr>
            </w:pPr>
            <w:r w:rsidRPr="007678FC">
              <w:rPr>
                <w:rFonts w:eastAsia="Times"/>
              </w:rPr>
              <w:t>Established Patient:  99391–99397</w:t>
            </w:r>
          </w:p>
        </w:tc>
      </w:tr>
      <w:tr w:rsidR="006054DD" w:rsidRPr="007678FC" w:rsidTr="00310A7D">
        <w:tc>
          <w:tcPr>
            <w:tcW w:w="8460" w:type="dxa"/>
            <w:vAlign w:val="bottom"/>
          </w:tcPr>
          <w:p w:rsidR="006054DD" w:rsidRPr="007678FC" w:rsidRDefault="006054DD" w:rsidP="002A1ACF">
            <w:pPr>
              <w:rPr>
                <w:b/>
                <w:bCs/>
                <w:noProof/>
              </w:rPr>
            </w:pPr>
            <w:r w:rsidRPr="007678FC">
              <w:rPr>
                <w:b/>
                <w:bCs/>
                <w:noProof/>
              </w:rPr>
              <w:t>Counseling Risk Factor Reduction and Behavior Change Intervention</w:t>
            </w:r>
          </w:p>
          <w:p w:rsidR="006054DD" w:rsidRPr="007678FC" w:rsidRDefault="006054DD" w:rsidP="00F46B28">
            <w:pPr>
              <w:numPr>
                <w:ilvl w:val="0"/>
                <w:numId w:val="5"/>
              </w:numPr>
              <w:rPr>
                <w:rFonts w:eastAsia="Times"/>
              </w:rPr>
            </w:pPr>
            <w:r w:rsidRPr="007678FC">
              <w:rPr>
                <w:rFonts w:eastAsia="Times"/>
              </w:rPr>
              <w:t>New or Established Patient Preventive Medicine, Individual Counseling:  99401–99404</w:t>
            </w:r>
          </w:p>
          <w:p w:rsidR="006054DD" w:rsidRPr="007678FC" w:rsidRDefault="006054DD" w:rsidP="00F46B28">
            <w:pPr>
              <w:numPr>
                <w:ilvl w:val="0"/>
                <w:numId w:val="5"/>
              </w:numPr>
              <w:rPr>
                <w:rFonts w:eastAsia="Times"/>
              </w:rPr>
            </w:pPr>
            <w:r w:rsidRPr="007678FC">
              <w:rPr>
                <w:rFonts w:eastAsia="Times"/>
              </w:rPr>
              <w:t>New or Established Patient Behavior Change Interventions, Individual:  99406-99409</w:t>
            </w:r>
          </w:p>
          <w:p w:rsidR="006054DD" w:rsidRPr="007678FC" w:rsidRDefault="006054DD" w:rsidP="00F46B28">
            <w:pPr>
              <w:numPr>
                <w:ilvl w:val="0"/>
                <w:numId w:val="5"/>
              </w:numPr>
              <w:rPr>
                <w:rFonts w:eastAsia="Times"/>
                <w:b/>
                <w:bCs/>
              </w:rPr>
            </w:pPr>
            <w:r w:rsidRPr="007678FC">
              <w:rPr>
                <w:rFonts w:eastAsia="Times"/>
              </w:rPr>
              <w:lastRenderedPageBreak/>
              <w:t>New or Established Patient Preventive Medicine, Group Counseling:  99411–99412</w:t>
            </w:r>
          </w:p>
        </w:tc>
      </w:tr>
      <w:tr w:rsidR="006054DD" w:rsidRPr="007678FC" w:rsidTr="00310A7D">
        <w:trPr>
          <w:trHeight w:val="620"/>
        </w:trPr>
        <w:tc>
          <w:tcPr>
            <w:tcW w:w="8460" w:type="dxa"/>
            <w:vAlign w:val="bottom"/>
          </w:tcPr>
          <w:p w:rsidR="006054DD" w:rsidRPr="007678FC" w:rsidRDefault="006054DD" w:rsidP="002A1ACF">
            <w:pPr>
              <w:rPr>
                <w:b/>
                <w:bCs/>
              </w:rPr>
            </w:pPr>
            <w:r w:rsidRPr="007678FC">
              <w:rPr>
                <w:b/>
                <w:bCs/>
              </w:rPr>
              <w:lastRenderedPageBreak/>
              <w:t>Other Preventive Medicine Services – Administration and interpretation:</w:t>
            </w:r>
          </w:p>
          <w:p w:rsidR="006054DD" w:rsidRPr="007678FC" w:rsidRDefault="006054DD" w:rsidP="00F46B28">
            <w:pPr>
              <w:numPr>
                <w:ilvl w:val="0"/>
                <w:numId w:val="8"/>
              </w:numPr>
              <w:spacing w:after="200" w:line="276" w:lineRule="auto"/>
              <w:contextualSpacing/>
              <w:rPr>
                <w:rFonts w:eastAsia="Times"/>
                <w:b/>
                <w:bCs/>
              </w:rPr>
            </w:pPr>
            <w:r w:rsidRPr="007678FC">
              <w:rPr>
                <w:rFonts w:eastAsia="Times"/>
              </w:rPr>
              <w:t>99420</w:t>
            </w:r>
          </w:p>
        </w:tc>
      </w:tr>
      <w:tr w:rsidR="006054DD" w:rsidRPr="007678FC" w:rsidTr="00310A7D">
        <w:tc>
          <w:tcPr>
            <w:tcW w:w="8460" w:type="dxa"/>
            <w:vAlign w:val="bottom"/>
          </w:tcPr>
          <w:p w:rsidR="006054DD" w:rsidRPr="007678FC" w:rsidRDefault="006054DD" w:rsidP="002A1ACF">
            <w:pPr>
              <w:rPr>
                <w:b/>
                <w:bCs/>
              </w:rPr>
            </w:pPr>
            <w:r w:rsidRPr="007678FC">
              <w:rPr>
                <w:b/>
                <w:bCs/>
              </w:rPr>
              <w:t>Other Preventive Medicine Services – Unlisted preventive:</w:t>
            </w:r>
          </w:p>
          <w:p w:rsidR="006054DD" w:rsidRPr="007678FC" w:rsidRDefault="006054DD" w:rsidP="00F46B28">
            <w:pPr>
              <w:numPr>
                <w:ilvl w:val="0"/>
                <w:numId w:val="8"/>
              </w:numPr>
              <w:spacing w:after="200" w:line="276" w:lineRule="auto"/>
              <w:contextualSpacing/>
              <w:rPr>
                <w:rFonts w:eastAsia="Times"/>
                <w:b/>
                <w:bCs/>
              </w:rPr>
            </w:pPr>
            <w:r w:rsidRPr="007678FC">
              <w:rPr>
                <w:rFonts w:eastAsia="Times"/>
              </w:rPr>
              <w:t>99429</w:t>
            </w:r>
          </w:p>
        </w:tc>
      </w:tr>
      <w:tr w:rsidR="006054DD" w:rsidRPr="007678FC" w:rsidTr="00310A7D">
        <w:tc>
          <w:tcPr>
            <w:tcW w:w="8460" w:type="dxa"/>
            <w:vAlign w:val="bottom"/>
          </w:tcPr>
          <w:p w:rsidR="006054DD" w:rsidRPr="007678FC" w:rsidRDefault="006054DD" w:rsidP="002A1ACF">
            <w:pPr>
              <w:rPr>
                <w:b/>
                <w:bCs/>
              </w:rPr>
            </w:pPr>
            <w:r w:rsidRPr="007678FC">
              <w:rPr>
                <w:b/>
                <w:bCs/>
              </w:rPr>
              <w:t>Newborn Care Services</w:t>
            </w:r>
          </w:p>
          <w:p w:rsidR="006054DD" w:rsidRPr="007678FC" w:rsidRDefault="006054DD" w:rsidP="00F46B28">
            <w:pPr>
              <w:numPr>
                <w:ilvl w:val="0"/>
                <w:numId w:val="8"/>
              </w:numPr>
              <w:rPr>
                <w:bCs/>
              </w:rPr>
            </w:pPr>
            <w:r w:rsidRPr="007678FC">
              <w:rPr>
                <w:bCs/>
              </w:rPr>
              <w:t>Initial and subsequent care for evaluation and management of normal newborn infant:  99460-99463</w:t>
            </w:r>
          </w:p>
          <w:p w:rsidR="006054DD" w:rsidRPr="007678FC" w:rsidRDefault="006054DD" w:rsidP="00F46B28">
            <w:pPr>
              <w:numPr>
                <w:ilvl w:val="0"/>
                <w:numId w:val="8"/>
              </w:numPr>
              <w:rPr>
                <w:bCs/>
              </w:rPr>
            </w:pPr>
            <w:r w:rsidRPr="007678FC">
              <w:rPr>
                <w:bCs/>
              </w:rPr>
              <w:t>Attendance at delivery (when requested by the delivering physician) and initial stabilization of newborn:  99464</w:t>
            </w:r>
          </w:p>
          <w:p w:rsidR="006054DD" w:rsidRPr="007678FC" w:rsidRDefault="006054DD" w:rsidP="00F46B28">
            <w:pPr>
              <w:numPr>
                <w:ilvl w:val="0"/>
                <w:numId w:val="8"/>
              </w:numPr>
              <w:rPr>
                <w:bCs/>
              </w:rPr>
            </w:pPr>
            <w:r w:rsidRPr="007678FC">
              <w:rPr>
                <w:bCs/>
              </w:rPr>
              <w:t>Delivery/birthing room resuscitation:  99465</w:t>
            </w:r>
          </w:p>
        </w:tc>
      </w:tr>
      <w:tr w:rsidR="006054DD" w:rsidRPr="007678FC" w:rsidTr="00310A7D">
        <w:tc>
          <w:tcPr>
            <w:tcW w:w="8460" w:type="dxa"/>
            <w:vAlign w:val="bottom"/>
          </w:tcPr>
          <w:p w:rsidR="006054DD" w:rsidRPr="007678FC" w:rsidRDefault="006054DD" w:rsidP="002A1ACF">
            <w:pPr>
              <w:rPr>
                <w:b/>
                <w:bCs/>
              </w:rPr>
            </w:pPr>
            <w:r w:rsidRPr="007678FC">
              <w:rPr>
                <w:b/>
                <w:bCs/>
              </w:rPr>
              <w:t xml:space="preserve">Federally Qualified </w:t>
            </w:r>
            <w:smartTag w:uri="urn:schemas-microsoft-com:office:smarttags" w:element="place">
              <w:smartTag w:uri="urn:schemas-microsoft-com:office:smarttags" w:element="PlaceName">
                <w:r w:rsidRPr="007678FC">
                  <w:rPr>
                    <w:b/>
                    <w:bCs/>
                  </w:rPr>
                  <w:t>Health</w:t>
                </w:r>
              </w:smartTag>
              <w:r w:rsidRPr="007678FC">
                <w:rPr>
                  <w:b/>
                  <w:bCs/>
                </w:rPr>
                <w:t xml:space="preserve"> </w:t>
              </w:r>
              <w:smartTag w:uri="urn:schemas-microsoft-com:office:smarttags" w:element="PlaceType">
                <w:r w:rsidRPr="007678FC">
                  <w:rPr>
                    <w:b/>
                    <w:bCs/>
                  </w:rPr>
                  <w:t>Center</w:t>
                </w:r>
              </w:smartTag>
            </w:smartTag>
            <w:r w:rsidRPr="007678FC">
              <w:rPr>
                <w:b/>
                <w:bCs/>
              </w:rPr>
              <w:t xml:space="preserve"> (FQHC) – Global Visit</w:t>
            </w:r>
          </w:p>
          <w:p w:rsidR="006054DD" w:rsidRPr="007678FC" w:rsidRDefault="006054DD" w:rsidP="002A1ACF">
            <w:pPr>
              <w:rPr>
                <w:b/>
                <w:bCs/>
                <w:i/>
              </w:rPr>
            </w:pPr>
            <w:r w:rsidRPr="007678FC">
              <w:rPr>
                <w:b/>
                <w:bCs/>
                <w:i/>
                <w:u w:val="single"/>
              </w:rPr>
              <w:t>( billed as a revenue code on an institutional claim form</w:t>
            </w:r>
            <w:r w:rsidRPr="007678FC">
              <w:rPr>
                <w:b/>
                <w:bCs/>
                <w:i/>
              </w:rPr>
              <w:t>)</w:t>
            </w:r>
          </w:p>
          <w:p w:rsidR="006054DD" w:rsidRPr="007678FC" w:rsidRDefault="006054DD" w:rsidP="00F46B28">
            <w:pPr>
              <w:numPr>
                <w:ilvl w:val="0"/>
                <w:numId w:val="8"/>
              </w:numPr>
              <w:tabs>
                <w:tab w:val="left" w:pos="432"/>
              </w:tabs>
              <w:spacing w:after="200" w:line="276" w:lineRule="auto"/>
              <w:contextualSpacing/>
              <w:rPr>
                <w:rFonts w:eastAsia="Times"/>
              </w:rPr>
            </w:pPr>
            <w:r w:rsidRPr="007678FC">
              <w:rPr>
                <w:rFonts w:eastAsia="Times"/>
              </w:rPr>
              <w:t>0521 = Clinic visit by member to RHC/FQHC;</w:t>
            </w:r>
          </w:p>
          <w:p w:rsidR="006054DD" w:rsidRPr="007678FC" w:rsidRDefault="006054DD" w:rsidP="00F46B28">
            <w:pPr>
              <w:numPr>
                <w:ilvl w:val="0"/>
                <w:numId w:val="8"/>
              </w:numPr>
              <w:spacing w:after="200" w:line="276" w:lineRule="auto"/>
              <w:contextualSpacing/>
              <w:rPr>
                <w:rFonts w:eastAsia="Times"/>
                <w:b/>
                <w:bCs/>
              </w:rPr>
            </w:pPr>
            <w:r w:rsidRPr="007678FC">
              <w:rPr>
                <w:rFonts w:eastAsia="Times"/>
              </w:rPr>
              <w:t>0522 = Home visit by RHC/FQHC practitioner</w:t>
            </w:r>
          </w:p>
          <w:p w:rsidR="006054DD" w:rsidRPr="007678FC" w:rsidRDefault="006054DD" w:rsidP="00F46B28">
            <w:pPr>
              <w:numPr>
                <w:ilvl w:val="0"/>
                <w:numId w:val="8"/>
              </w:numPr>
              <w:spacing w:after="200" w:line="276" w:lineRule="auto"/>
              <w:contextualSpacing/>
              <w:rPr>
                <w:rFonts w:eastAsia="Times"/>
                <w:b/>
                <w:bCs/>
              </w:rPr>
            </w:pPr>
            <w:r w:rsidRPr="007678FC">
              <w:rPr>
                <w:rFonts w:eastAsia="Times"/>
              </w:rPr>
              <w:t>0525 = Nursing home visit by RHC/FQHC practitioner</w:t>
            </w:r>
          </w:p>
        </w:tc>
      </w:tr>
      <w:tr w:rsidR="006054DD" w:rsidRPr="007678FC" w:rsidTr="00310A7D">
        <w:tc>
          <w:tcPr>
            <w:tcW w:w="8460" w:type="dxa"/>
            <w:vAlign w:val="bottom"/>
          </w:tcPr>
          <w:p w:rsidR="006054DD" w:rsidRPr="007678FC" w:rsidRDefault="006054DD" w:rsidP="002A1ACF">
            <w:r w:rsidRPr="007678FC">
              <w:rPr>
                <w:b/>
              </w:rPr>
              <w:t>Medicare-Covered Wellness Visits:</w:t>
            </w:r>
            <w:r w:rsidRPr="007678FC">
              <w:t xml:space="preserve">  Codes G0404, G0438, and G0439</w:t>
            </w:r>
          </w:p>
          <w:p w:rsidR="006054DD" w:rsidRPr="007678FC" w:rsidRDefault="006054DD" w:rsidP="002A1ACF">
            <w:pPr>
              <w:ind w:left="360"/>
              <w:rPr>
                <w:b/>
                <w:bCs/>
              </w:rPr>
            </w:pPr>
          </w:p>
        </w:tc>
      </w:tr>
    </w:tbl>
    <w:p w:rsidR="006054DD" w:rsidRPr="007678FC" w:rsidRDefault="006054DD" w:rsidP="006054DD">
      <w:pPr>
        <w:tabs>
          <w:tab w:val="left" w:pos="2250"/>
          <w:tab w:val="left" w:pos="2970"/>
        </w:tabs>
      </w:pPr>
    </w:p>
    <w:p w:rsidR="00B33EF7" w:rsidRPr="007678FC" w:rsidRDefault="006054DD" w:rsidP="0081028E">
      <w:pPr>
        <w:pStyle w:val="AppendixSubheading"/>
        <w:jc w:val="center"/>
        <w:rPr>
          <w:b/>
        </w:rPr>
      </w:pPr>
      <w:r w:rsidRPr="007678FC">
        <w:br w:type="page"/>
      </w:r>
      <w:bookmarkStart w:id="142" w:name="_Toc419884345"/>
      <w:bookmarkStart w:id="143" w:name="_Toc440036740"/>
      <w:bookmarkStart w:id="144" w:name="_Toc521488620"/>
      <w:r w:rsidR="00776E59" w:rsidRPr="007678FC">
        <w:rPr>
          <w:b/>
        </w:rPr>
        <w:lastRenderedPageBreak/>
        <w:t xml:space="preserve">APPENDIX </w:t>
      </w:r>
      <w:r w:rsidR="007A6A0B" w:rsidRPr="007678FC">
        <w:rPr>
          <w:b/>
        </w:rPr>
        <w:t>3</w:t>
      </w:r>
      <w:bookmarkEnd w:id="142"/>
      <w:bookmarkEnd w:id="143"/>
      <w:bookmarkEnd w:id="144"/>
    </w:p>
    <w:p w:rsidR="00B33EF7" w:rsidRPr="007678FC" w:rsidRDefault="00B33EF7" w:rsidP="00B33EF7">
      <w:pPr>
        <w:jc w:val="center"/>
        <w:rPr>
          <w:rFonts w:eastAsia="Times"/>
          <w:b/>
          <w:caps/>
        </w:rPr>
      </w:pPr>
      <w:r w:rsidRPr="007678FC">
        <w:rPr>
          <w:rFonts w:eastAsia="Times"/>
          <w:b/>
        </w:rPr>
        <w:t>VERMONT BLUEPRINT PPPM COMMON ATTRIBUTION</w:t>
      </w:r>
      <w:r w:rsidRPr="007678FC">
        <w:rPr>
          <w:rFonts w:eastAsia="Times"/>
          <w:b/>
          <w:caps/>
        </w:rPr>
        <w:t xml:space="preserve"> Algorithm</w:t>
      </w:r>
    </w:p>
    <w:p w:rsidR="00B33EF7" w:rsidRPr="007678FC" w:rsidRDefault="00B33EF7" w:rsidP="00B33EF7">
      <w:pPr>
        <w:jc w:val="center"/>
        <w:rPr>
          <w:rFonts w:eastAsia="Times"/>
          <w:b/>
          <w:caps/>
        </w:rPr>
      </w:pPr>
      <w:r w:rsidRPr="007678FC">
        <w:rPr>
          <w:rFonts w:eastAsia="Times"/>
          <w:b/>
          <w:caps/>
        </w:rPr>
        <w:t>COMMERCIAL INSURERS AND MEDICAID</w:t>
      </w:r>
    </w:p>
    <w:p w:rsidR="00B33EF7" w:rsidRPr="007678FC" w:rsidRDefault="00B33EF7" w:rsidP="00B33EF7">
      <w:pPr>
        <w:ind w:left="360"/>
        <w:rPr>
          <w:rFonts w:eastAsia="Times"/>
          <w:b/>
        </w:rPr>
      </w:pPr>
    </w:p>
    <w:p w:rsidR="00B33EF7" w:rsidRPr="007678FC" w:rsidRDefault="00B33EF7" w:rsidP="00B33EF7">
      <w:pPr>
        <w:ind w:left="360"/>
        <w:contextualSpacing/>
        <w:rPr>
          <w:rFonts w:eastAsia="Times"/>
        </w:rPr>
      </w:pPr>
      <w:r w:rsidRPr="007678FC">
        <w:rPr>
          <w:rFonts w:eastAsia="Times"/>
        </w:rPr>
        <w:t>1.</w:t>
      </w:r>
      <w:r w:rsidRPr="007678FC">
        <w:rPr>
          <w:rFonts w:eastAsia="Times"/>
        </w:rPr>
        <w:tab/>
        <w:t>The look back period is the most recent 24 months for which claims are available.</w:t>
      </w:r>
    </w:p>
    <w:p w:rsidR="00B33EF7" w:rsidRPr="007678FC" w:rsidRDefault="00B33EF7" w:rsidP="00B33EF7">
      <w:pPr>
        <w:ind w:left="360"/>
        <w:contextualSpacing/>
        <w:rPr>
          <w:rFonts w:eastAsia="Times"/>
        </w:rPr>
      </w:pPr>
    </w:p>
    <w:p w:rsidR="00B33EF7" w:rsidRPr="007678FC" w:rsidRDefault="00B33EF7" w:rsidP="00B33EF7">
      <w:pPr>
        <w:ind w:left="720" w:hanging="360"/>
        <w:contextualSpacing/>
        <w:rPr>
          <w:rFonts w:eastAsia="Times"/>
        </w:rPr>
      </w:pPr>
      <w:r w:rsidRPr="007678FC">
        <w:rPr>
          <w:rFonts w:eastAsia="Times"/>
        </w:rPr>
        <w:t xml:space="preserve">2. </w:t>
      </w:r>
      <w:r w:rsidRPr="007678FC">
        <w:rPr>
          <w:rFonts w:eastAsia="Times"/>
        </w:rPr>
        <w:tab/>
        <w:t>Identify all members/beneficiaries who meet the following criteria as of the last day in the look back period:</w:t>
      </w:r>
    </w:p>
    <w:p w:rsidR="00B33EF7" w:rsidRPr="007678FC" w:rsidRDefault="00B33EF7" w:rsidP="00F46B28">
      <w:pPr>
        <w:numPr>
          <w:ilvl w:val="0"/>
          <w:numId w:val="11"/>
        </w:numPr>
        <w:tabs>
          <w:tab w:val="left" w:pos="1080"/>
        </w:tabs>
        <w:ind w:left="1080"/>
        <w:contextualSpacing/>
        <w:rPr>
          <w:rFonts w:eastAsia="Times"/>
        </w:rPr>
      </w:pPr>
      <w:r w:rsidRPr="007678FC">
        <w:rPr>
          <w:rFonts w:eastAsia="Times"/>
        </w:rPr>
        <w:t xml:space="preserve">Reside in </w:t>
      </w:r>
      <w:smartTag w:uri="urn:schemas-microsoft-com:office:smarttags" w:element="place">
        <w:smartTag w:uri="urn:schemas-microsoft-com:office:smarttags" w:element="State">
          <w:r w:rsidRPr="007678FC">
            <w:rPr>
              <w:rFonts w:eastAsia="Times"/>
            </w:rPr>
            <w:t>Vermont</w:t>
          </w:r>
        </w:smartTag>
      </w:smartTag>
      <w:r w:rsidRPr="007678FC">
        <w:rPr>
          <w:rFonts w:eastAsia="Times"/>
        </w:rPr>
        <w:t xml:space="preserve"> for Medicaid (and Medicare);</w:t>
      </w:r>
    </w:p>
    <w:p w:rsidR="00B33EF7" w:rsidRPr="007678FC" w:rsidRDefault="00B33EF7" w:rsidP="00F46B28">
      <w:pPr>
        <w:numPr>
          <w:ilvl w:val="0"/>
          <w:numId w:val="11"/>
        </w:numPr>
        <w:tabs>
          <w:tab w:val="left" w:pos="1080"/>
        </w:tabs>
        <w:ind w:left="1080"/>
        <w:contextualSpacing/>
        <w:rPr>
          <w:rFonts w:eastAsia="Times"/>
        </w:rPr>
      </w:pPr>
      <w:r w:rsidRPr="007678FC">
        <w:rPr>
          <w:rFonts w:eastAsia="Times"/>
        </w:rPr>
        <w:t xml:space="preserve">Employer sitused in </w:t>
      </w:r>
      <w:smartTag w:uri="urn:schemas-microsoft-com:office:smarttags" w:element="State">
        <w:r w:rsidRPr="007678FC">
          <w:rPr>
            <w:rFonts w:eastAsia="Times"/>
          </w:rPr>
          <w:t>Vermont</w:t>
        </w:r>
      </w:smartTag>
      <w:r w:rsidRPr="007678FC">
        <w:rPr>
          <w:rFonts w:eastAsia="Times"/>
        </w:rPr>
        <w:t xml:space="preserve"> or member/beneficiary residing in </w:t>
      </w:r>
      <w:smartTag w:uri="urn:schemas-microsoft-com:office:smarttags" w:element="place">
        <w:smartTag w:uri="urn:schemas-microsoft-com:office:smarttags" w:element="State">
          <w:r w:rsidRPr="007678FC">
            <w:rPr>
              <w:rFonts w:eastAsia="Times"/>
            </w:rPr>
            <w:t>Vermont</w:t>
          </w:r>
        </w:smartTag>
      </w:smartTag>
      <w:r w:rsidRPr="007678FC">
        <w:rPr>
          <w:rFonts w:eastAsia="Times"/>
        </w:rPr>
        <w:t xml:space="preserve"> for commercial insurers</w:t>
      </w:r>
      <w:r w:rsidRPr="007678FC">
        <w:rPr>
          <w:rFonts w:ascii="Arial" w:eastAsia="Times" w:hAnsi="Arial" w:cs="Arial"/>
          <w:color w:val="000080"/>
          <w:sz w:val="20"/>
        </w:rPr>
        <w:t xml:space="preserve"> </w:t>
      </w:r>
      <w:r w:rsidRPr="007678FC">
        <w:rPr>
          <w:rFonts w:eastAsia="Times" w:cs="Arial"/>
        </w:rPr>
        <w:t>(payers can select one of these options)</w:t>
      </w:r>
      <w:r w:rsidRPr="007678FC">
        <w:rPr>
          <w:rFonts w:eastAsia="Times"/>
        </w:rPr>
        <w:t>;</w:t>
      </w:r>
    </w:p>
    <w:p w:rsidR="00B33EF7" w:rsidRPr="007678FC" w:rsidRDefault="00B33EF7" w:rsidP="00F46B28">
      <w:pPr>
        <w:numPr>
          <w:ilvl w:val="0"/>
          <w:numId w:val="11"/>
        </w:numPr>
        <w:tabs>
          <w:tab w:val="left" w:pos="1080"/>
        </w:tabs>
        <w:ind w:left="1080"/>
        <w:contextualSpacing/>
        <w:rPr>
          <w:rFonts w:eastAsia="Times"/>
        </w:rPr>
      </w:pPr>
      <w:r w:rsidRPr="007678FC">
        <w:rPr>
          <w:rFonts w:eastAsia="Times"/>
        </w:rPr>
        <w:t>The insurer is the primary payer.</w:t>
      </w:r>
    </w:p>
    <w:p w:rsidR="00B33EF7" w:rsidRPr="007678FC" w:rsidRDefault="00B33EF7" w:rsidP="00B33EF7">
      <w:pPr>
        <w:ind w:left="1620"/>
        <w:rPr>
          <w:rFonts w:eastAsia="Times"/>
        </w:rPr>
      </w:pPr>
    </w:p>
    <w:p w:rsidR="00B33EF7" w:rsidRPr="007678FC" w:rsidRDefault="00B33EF7" w:rsidP="00B33EF7">
      <w:pPr>
        <w:tabs>
          <w:tab w:val="left" w:pos="720"/>
        </w:tabs>
        <w:ind w:left="720" w:hanging="720"/>
        <w:contextualSpacing/>
        <w:rPr>
          <w:rFonts w:eastAsia="Times"/>
          <w:u w:val="single"/>
        </w:rPr>
      </w:pPr>
      <w:r w:rsidRPr="007678FC">
        <w:rPr>
          <w:rFonts w:eastAsia="Times"/>
        </w:rPr>
        <w:t xml:space="preserve">      3.</w:t>
      </w:r>
      <w:r w:rsidRPr="007678FC">
        <w:rPr>
          <w:rFonts w:eastAsia="Times"/>
        </w:rPr>
        <w:tab/>
        <w:t>For products that require members/beneficiaries to select a primary care provider, attribute those members/beneficiaries to that provider if the provider is in a Blueprint-recognized</w:t>
      </w:r>
      <w:r w:rsidR="005D1741" w:rsidRPr="007678FC">
        <w:rPr>
          <w:rFonts w:eastAsia="Times"/>
        </w:rPr>
        <w:t xml:space="preserve"> </w:t>
      </w:r>
      <w:r w:rsidRPr="007678FC">
        <w:rPr>
          <w:rFonts w:eastAsia="Times"/>
        </w:rPr>
        <w:t>practice.</w:t>
      </w:r>
    </w:p>
    <w:p w:rsidR="00B33EF7" w:rsidRPr="007678FC" w:rsidRDefault="00B33EF7" w:rsidP="00B33EF7">
      <w:pPr>
        <w:tabs>
          <w:tab w:val="left" w:pos="720"/>
        </w:tabs>
        <w:ind w:left="360"/>
        <w:contextualSpacing/>
        <w:rPr>
          <w:rFonts w:eastAsia="Times"/>
          <w:u w:val="single"/>
        </w:rPr>
      </w:pPr>
    </w:p>
    <w:p w:rsidR="00B33EF7" w:rsidRPr="007678FC" w:rsidRDefault="00B33EF7" w:rsidP="00F46B28">
      <w:pPr>
        <w:numPr>
          <w:ilvl w:val="0"/>
          <w:numId w:val="10"/>
        </w:numPr>
        <w:tabs>
          <w:tab w:val="left" w:pos="720"/>
        </w:tabs>
        <w:ind w:left="720"/>
        <w:contextualSpacing/>
        <w:rPr>
          <w:rFonts w:eastAsia="Times"/>
          <w:u w:val="single"/>
        </w:rPr>
      </w:pPr>
      <w:r w:rsidRPr="007678FC">
        <w:rPr>
          <w:rFonts w:eastAsia="Times"/>
        </w:rPr>
        <w:t xml:space="preserve">For other members/beneficiaries, select all claims for beneficiaries identified in step 2 with the following qualifying CPT Codes in the look back period (most recent 24 months) for primary care providers included on Blueprint payment rosters, </w:t>
      </w:r>
      <w:r w:rsidRPr="007678FC">
        <w:rPr>
          <w:rFonts w:eastAsia="Times"/>
          <w:u w:val="single"/>
        </w:rPr>
        <w:t>where the provider specialty is internal medicine, general medicine, geriatric medicine, family medicine, pediatrics, naturopathic medicine, nurse practitioner, or physician assistant; or where the provider is an FQHC or Rural Health Clinic.</w:t>
      </w:r>
    </w:p>
    <w:p w:rsidR="00B33EF7" w:rsidRPr="007678FC" w:rsidRDefault="00B33EF7" w:rsidP="00B33EF7">
      <w:pPr>
        <w:jc w:val="center"/>
        <w:rPr>
          <w:b/>
          <w:lang w:val="fr-FR"/>
        </w:rPr>
      </w:pPr>
    </w:p>
    <w:tbl>
      <w:tblPr>
        <w:tblW w:w="846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0"/>
      </w:tblGrid>
      <w:tr w:rsidR="00B33EF7" w:rsidRPr="007678FC" w:rsidTr="00310A7D">
        <w:trPr>
          <w:cantSplit/>
          <w:tblHeader/>
        </w:trPr>
        <w:tc>
          <w:tcPr>
            <w:tcW w:w="8460" w:type="dxa"/>
            <w:shd w:val="clear" w:color="auto" w:fill="D6E3BC"/>
            <w:vAlign w:val="bottom"/>
          </w:tcPr>
          <w:p w:rsidR="00B33EF7" w:rsidRPr="007678FC" w:rsidRDefault="00B33EF7" w:rsidP="00B33EF7">
            <w:pPr>
              <w:jc w:val="center"/>
              <w:rPr>
                <w:b/>
                <w:bCs/>
              </w:rPr>
            </w:pPr>
            <w:r w:rsidRPr="007678FC">
              <w:rPr>
                <w:b/>
                <w:bCs/>
              </w:rPr>
              <w:t>CPT-4 Code Description Summary</w:t>
            </w:r>
          </w:p>
        </w:tc>
      </w:tr>
      <w:tr w:rsidR="00B33EF7" w:rsidRPr="007678FC" w:rsidTr="00310A7D">
        <w:tc>
          <w:tcPr>
            <w:tcW w:w="8460" w:type="dxa"/>
            <w:vAlign w:val="bottom"/>
          </w:tcPr>
          <w:p w:rsidR="00B33EF7" w:rsidRPr="007678FC" w:rsidRDefault="00B33EF7" w:rsidP="00B33EF7">
            <w:pPr>
              <w:rPr>
                <w:b/>
                <w:bCs/>
              </w:rPr>
            </w:pPr>
            <w:r w:rsidRPr="007678FC">
              <w:rPr>
                <w:b/>
                <w:bCs/>
              </w:rPr>
              <w:t>Evaluation and Management - Office or Other Outpatient Services</w:t>
            </w:r>
          </w:p>
          <w:p w:rsidR="00B33EF7" w:rsidRPr="007678FC" w:rsidRDefault="00B33EF7" w:rsidP="00F46B28">
            <w:pPr>
              <w:numPr>
                <w:ilvl w:val="2"/>
                <w:numId w:val="4"/>
              </w:numPr>
              <w:rPr>
                <w:rFonts w:eastAsia="Times"/>
              </w:rPr>
            </w:pPr>
            <w:r w:rsidRPr="007678FC">
              <w:rPr>
                <w:rFonts w:eastAsia="Times"/>
              </w:rPr>
              <w:t>New Patient:  99201-99205</w:t>
            </w:r>
          </w:p>
          <w:p w:rsidR="00B33EF7" w:rsidRPr="007678FC" w:rsidRDefault="00B33EF7" w:rsidP="00F46B28">
            <w:pPr>
              <w:numPr>
                <w:ilvl w:val="2"/>
                <w:numId w:val="4"/>
              </w:numPr>
              <w:rPr>
                <w:rFonts w:eastAsia="Times"/>
              </w:rPr>
            </w:pPr>
            <w:r w:rsidRPr="007678FC">
              <w:rPr>
                <w:rFonts w:eastAsia="Times"/>
              </w:rPr>
              <w:t>Established Patient:  99211-99215</w:t>
            </w:r>
          </w:p>
        </w:tc>
      </w:tr>
      <w:tr w:rsidR="00B33EF7" w:rsidRPr="007678FC" w:rsidTr="00310A7D">
        <w:tc>
          <w:tcPr>
            <w:tcW w:w="8460" w:type="dxa"/>
            <w:vAlign w:val="bottom"/>
          </w:tcPr>
          <w:p w:rsidR="00B33EF7" w:rsidRPr="007678FC" w:rsidRDefault="00B33EF7" w:rsidP="00B33EF7">
            <w:pPr>
              <w:rPr>
                <w:b/>
                <w:bCs/>
              </w:rPr>
            </w:pPr>
            <w:r w:rsidRPr="007678FC">
              <w:rPr>
                <w:b/>
                <w:bCs/>
              </w:rPr>
              <w:t>Consultations - Office or Other Outpatient Consultations</w:t>
            </w:r>
          </w:p>
          <w:p w:rsidR="00B33EF7" w:rsidRPr="007678FC" w:rsidRDefault="00B33EF7" w:rsidP="00F46B28">
            <w:pPr>
              <w:numPr>
                <w:ilvl w:val="0"/>
                <w:numId w:val="5"/>
              </w:numPr>
              <w:rPr>
                <w:rFonts w:eastAsia="Times"/>
              </w:rPr>
            </w:pPr>
            <w:r w:rsidRPr="007678FC">
              <w:rPr>
                <w:rFonts w:eastAsia="Times"/>
              </w:rPr>
              <w:t>New or Established Patient:  99241-99245</w:t>
            </w:r>
          </w:p>
        </w:tc>
      </w:tr>
      <w:tr w:rsidR="00B33EF7" w:rsidRPr="007678FC" w:rsidTr="00310A7D">
        <w:tc>
          <w:tcPr>
            <w:tcW w:w="8460" w:type="dxa"/>
            <w:vAlign w:val="bottom"/>
          </w:tcPr>
          <w:p w:rsidR="00B33EF7" w:rsidRPr="007678FC" w:rsidRDefault="00B33EF7" w:rsidP="00B33EF7">
            <w:pPr>
              <w:rPr>
                <w:b/>
                <w:bCs/>
              </w:rPr>
            </w:pPr>
            <w:r w:rsidRPr="007678FC">
              <w:rPr>
                <w:b/>
                <w:bCs/>
              </w:rPr>
              <w:t>Nursing Facility Services:</w:t>
            </w:r>
          </w:p>
          <w:p w:rsidR="00B33EF7" w:rsidRPr="007678FC" w:rsidRDefault="00B33EF7" w:rsidP="00F46B28">
            <w:pPr>
              <w:numPr>
                <w:ilvl w:val="0"/>
                <w:numId w:val="6"/>
              </w:numPr>
              <w:rPr>
                <w:rFonts w:eastAsia="Times"/>
              </w:rPr>
            </w:pPr>
            <w:r w:rsidRPr="007678FC">
              <w:rPr>
                <w:rFonts w:eastAsia="Times"/>
              </w:rPr>
              <w:t>E &amp; M New/Established patient:  99304-99306</w:t>
            </w:r>
          </w:p>
          <w:p w:rsidR="00B33EF7" w:rsidRPr="007678FC" w:rsidRDefault="00B33EF7" w:rsidP="00F46B28">
            <w:pPr>
              <w:numPr>
                <w:ilvl w:val="0"/>
                <w:numId w:val="6"/>
              </w:numPr>
              <w:rPr>
                <w:rFonts w:eastAsia="Times"/>
                <w:b/>
                <w:bCs/>
                <w:noProof/>
              </w:rPr>
            </w:pPr>
            <w:r w:rsidRPr="007678FC">
              <w:rPr>
                <w:rFonts w:eastAsia="Times"/>
              </w:rPr>
              <w:t>Subsequent Nursing Facility Care:  99307-99310</w:t>
            </w:r>
          </w:p>
        </w:tc>
      </w:tr>
      <w:tr w:rsidR="00B33EF7" w:rsidRPr="007678FC" w:rsidTr="00310A7D">
        <w:trPr>
          <w:trHeight w:val="323"/>
        </w:trPr>
        <w:tc>
          <w:tcPr>
            <w:tcW w:w="8460" w:type="dxa"/>
            <w:vAlign w:val="bottom"/>
          </w:tcPr>
          <w:p w:rsidR="00B33EF7" w:rsidRPr="007678FC" w:rsidRDefault="00B33EF7" w:rsidP="00B33EF7">
            <w:pPr>
              <w:rPr>
                <w:b/>
                <w:bCs/>
              </w:rPr>
            </w:pPr>
            <w:r w:rsidRPr="007678FC">
              <w:rPr>
                <w:b/>
                <w:bCs/>
              </w:rPr>
              <w:t>Domiciliary, Rest Home (e.g., Boarding Home), or Custodial Care Service:</w:t>
            </w:r>
          </w:p>
          <w:p w:rsidR="00B33EF7" w:rsidRPr="007678FC" w:rsidRDefault="00B33EF7" w:rsidP="00F46B28">
            <w:pPr>
              <w:numPr>
                <w:ilvl w:val="0"/>
                <w:numId w:val="7"/>
              </w:numPr>
              <w:rPr>
                <w:rFonts w:eastAsia="Times"/>
              </w:rPr>
            </w:pPr>
            <w:r w:rsidRPr="007678FC">
              <w:rPr>
                <w:rFonts w:eastAsia="Times"/>
              </w:rPr>
              <w:t>Domiciliary or Rest Home Visit New Patient:  99324-99328</w:t>
            </w:r>
          </w:p>
          <w:p w:rsidR="00B33EF7" w:rsidRPr="007678FC" w:rsidRDefault="00B33EF7" w:rsidP="00F46B28">
            <w:pPr>
              <w:numPr>
                <w:ilvl w:val="0"/>
                <w:numId w:val="7"/>
              </w:numPr>
              <w:rPr>
                <w:rFonts w:eastAsia="Times"/>
                <w:b/>
                <w:bCs/>
                <w:color w:val="FF0000"/>
              </w:rPr>
            </w:pPr>
            <w:r w:rsidRPr="007678FC">
              <w:rPr>
                <w:rFonts w:eastAsia="Times"/>
              </w:rPr>
              <w:t>Domiciliary or Rest Home Visit Established Patient:  99334-99337</w:t>
            </w:r>
          </w:p>
        </w:tc>
      </w:tr>
      <w:tr w:rsidR="00B33EF7" w:rsidRPr="007678FC" w:rsidTr="00310A7D">
        <w:tc>
          <w:tcPr>
            <w:tcW w:w="8460" w:type="dxa"/>
            <w:vAlign w:val="bottom"/>
          </w:tcPr>
          <w:p w:rsidR="00B33EF7" w:rsidRPr="007678FC" w:rsidRDefault="00B33EF7" w:rsidP="00B33EF7">
            <w:pPr>
              <w:rPr>
                <w:b/>
                <w:bCs/>
              </w:rPr>
            </w:pPr>
            <w:r w:rsidRPr="007678FC">
              <w:rPr>
                <w:b/>
                <w:bCs/>
              </w:rPr>
              <w:t>Home Services</w:t>
            </w:r>
          </w:p>
          <w:p w:rsidR="00B33EF7" w:rsidRPr="007678FC" w:rsidRDefault="00B33EF7" w:rsidP="00F46B28">
            <w:pPr>
              <w:numPr>
                <w:ilvl w:val="2"/>
                <w:numId w:val="4"/>
              </w:numPr>
              <w:rPr>
                <w:rFonts w:eastAsia="Times"/>
              </w:rPr>
            </w:pPr>
            <w:r w:rsidRPr="007678FC">
              <w:rPr>
                <w:rFonts w:eastAsia="Times"/>
              </w:rPr>
              <w:t>New Patient:  99341-99345</w:t>
            </w:r>
          </w:p>
          <w:p w:rsidR="00B33EF7" w:rsidRPr="007678FC" w:rsidRDefault="00B33EF7" w:rsidP="00F46B28">
            <w:pPr>
              <w:numPr>
                <w:ilvl w:val="2"/>
                <w:numId w:val="4"/>
              </w:numPr>
              <w:rPr>
                <w:rFonts w:eastAsia="Times"/>
              </w:rPr>
            </w:pPr>
            <w:r w:rsidRPr="007678FC">
              <w:rPr>
                <w:rFonts w:eastAsia="Times"/>
              </w:rPr>
              <w:t>Established Patient:  99347-99350</w:t>
            </w:r>
          </w:p>
          <w:p w:rsidR="00B33EF7" w:rsidRPr="007678FC" w:rsidRDefault="00B33EF7" w:rsidP="00B33EF7">
            <w:pPr>
              <w:rPr>
                <w:rFonts w:eastAsia="Times"/>
              </w:rPr>
            </w:pPr>
          </w:p>
        </w:tc>
      </w:tr>
      <w:tr w:rsidR="00B33EF7" w:rsidRPr="007678FC" w:rsidTr="00310A7D">
        <w:tc>
          <w:tcPr>
            <w:tcW w:w="8460" w:type="dxa"/>
            <w:vAlign w:val="bottom"/>
          </w:tcPr>
          <w:p w:rsidR="00B33EF7" w:rsidRPr="007678FC" w:rsidRDefault="00B33EF7" w:rsidP="00B33EF7">
            <w:pPr>
              <w:rPr>
                <w:rFonts w:eastAsia="Times"/>
                <w:b/>
                <w:bCs/>
              </w:rPr>
            </w:pPr>
            <w:r w:rsidRPr="007678FC">
              <w:rPr>
                <w:rFonts w:eastAsia="Times"/>
                <w:b/>
                <w:bCs/>
              </w:rPr>
              <w:t>Prolonged Services – Prolonged Physician Service With Direct (Face-to-Face) Patient Contact</w:t>
            </w:r>
          </w:p>
          <w:p w:rsidR="00B33EF7" w:rsidRPr="007678FC" w:rsidRDefault="00B33EF7" w:rsidP="00F46B28">
            <w:pPr>
              <w:numPr>
                <w:ilvl w:val="0"/>
                <w:numId w:val="6"/>
              </w:numPr>
              <w:rPr>
                <w:rFonts w:eastAsia="Times"/>
                <w:b/>
                <w:bCs/>
              </w:rPr>
            </w:pPr>
            <w:r w:rsidRPr="007678FC">
              <w:rPr>
                <w:rFonts w:eastAsia="Times"/>
              </w:rPr>
              <w:t>99354 and 99355</w:t>
            </w:r>
          </w:p>
        </w:tc>
      </w:tr>
      <w:tr w:rsidR="00B33EF7" w:rsidRPr="007678FC" w:rsidTr="00310A7D">
        <w:trPr>
          <w:trHeight w:val="70"/>
        </w:trPr>
        <w:tc>
          <w:tcPr>
            <w:tcW w:w="8460" w:type="dxa"/>
            <w:vAlign w:val="bottom"/>
          </w:tcPr>
          <w:p w:rsidR="00B33EF7" w:rsidRPr="007678FC" w:rsidRDefault="00B33EF7" w:rsidP="00B33EF7">
            <w:pPr>
              <w:rPr>
                <w:rFonts w:eastAsia="Times"/>
                <w:b/>
                <w:bCs/>
              </w:rPr>
            </w:pPr>
            <w:r w:rsidRPr="007678FC">
              <w:rPr>
                <w:rFonts w:eastAsia="Times"/>
                <w:b/>
                <w:bCs/>
              </w:rPr>
              <w:t>Prolonged Services – Prolonged Physician Service Without  Direct (Face-to-Face) Patient Contact</w:t>
            </w:r>
          </w:p>
          <w:p w:rsidR="00B33EF7" w:rsidRPr="007678FC" w:rsidRDefault="00B33EF7" w:rsidP="00F46B28">
            <w:pPr>
              <w:numPr>
                <w:ilvl w:val="0"/>
                <w:numId w:val="6"/>
              </w:numPr>
              <w:rPr>
                <w:rFonts w:eastAsia="Times"/>
                <w:b/>
                <w:bCs/>
              </w:rPr>
            </w:pPr>
            <w:r w:rsidRPr="007678FC">
              <w:rPr>
                <w:rFonts w:eastAsia="Times"/>
              </w:rPr>
              <w:lastRenderedPageBreak/>
              <w:t>99358 and 99359</w:t>
            </w:r>
          </w:p>
        </w:tc>
      </w:tr>
      <w:tr w:rsidR="00B33EF7" w:rsidRPr="007678FC" w:rsidTr="00310A7D">
        <w:tc>
          <w:tcPr>
            <w:tcW w:w="8460" w:type="dxa"/>
            <w:vAlign w:val="bottom"/>
          </w:tcPr>
          <w:p w:rsidR="00B33EF7" w:rsidRPr="007678FC" w:rsidRDefault="00B33EF7" w:rsidP="00B33EF7">
            <w:pPr>
              <w:rPr>
                <w:b/>
                <w:bCs/>
              </w:rPr>
            </w:pPr>
            <w:r w:rsidRPr="007678FC">
              <w:rPr>
                <w:b/>
                <w:bCs/>
              </w:rPr>
              <w:lastRenderedPageBreak/>
              <w:t>Preventive Medicine Services</w:t>
            </w:r>
          </w:p>
          <w:p w:rsidR="00B33EF7" w:rsidRPr="007678FC" w:rsidRDefault="00B33EF7" w:rsidP="00F46B28">
            <w:pPr>
              <w:numPr>
                <w:ilvl w:val="2"/>
                <w:numId w:val="4"/>
              </w:numPr>
              <w:rPr>
                <w:rFonts w:eastAsia="Times"/>
              </w:rPr>
            </w:pPr>
            <w:r w:rsidRPr="007678FC">
              <w:rPr>
                <w:rFonts w:eastAsia="Times"/>
              </w:rPr>
              <w:t>New Patient:  99381–99387</w:t>
            </w:r>
          </w:p>
          <w:p w:rsidR="00B33EF7" w:rsidRPr="007678FC" w:rsidRDefault="00B33EF7" w:rsidP="00F46B28">
            <w:pPr>
              <w:numPr>
                <w:ilvl w:val="2"/>
                <w:numId w:val="4"/>
              </w:numPr>
              <w:rPr>
                <w:rFonts w:eastAsia="Times"/>
                <w:b/>
                <w:bCs/>
                <w:noProof/>
              </w:rPr>
            </w:pPr>
            <w:r w:rsidRPr="007678FC">
              <w:rPr>
                <w:rFonts w:eastAsia="Times"/>
              </w:rPr>
              <w:t>Established Patient:  99391–99397</w:t>
            </w:r>
          </w:p>
        </w:tc>
      </w:tr>
      <w:tr w:rsidR="00B33EF7" w:rsidRPr="007678FC" w:rsidTr="00310A7D">
        <w:tc>
          <w:tcPr>
            <w:tcW w:w="8460" w:type="dxa"/>
            <w:vAlign w:val="bottom"/>
          </w:tcPr>
          <w:p w:rsidR="00B33EF7" w:rsidRPr="007678FC" w:rsidRDefault="00B33EF7" w:rsidP="00B33EF7">
            <w:pPr>
              <w:rPr>
                <w:b/>
                <w:bCs/>
                <w:noProof/>
              </w:rPr>
            </w:pPr>
            <w:r w:rsidRPr="007678FC">
              <w:rPr>
                <w:b/>
                <w:bCs/>
                <w:noProof/>
              </w:rPr>
              <w:t>Counseling Risk Factor Reduction and Behavior Change Intervention</w:t>
            </w:r>
          </w:p>
          <w:p w:rsidR="00B33EF7" w:rsidRPr="007678FC" w:rsidRDefault="00B33EF7" w:rsidP="00F46B28">
            <w:pPr>
              <w:numPr>
                <w:ilvl w:val="0"/>
                <w:numId w:val="5"/>
              </w:numPr>
              <w:rPr>
                <w:rFonts w:eastAsia="Times"/>
              </w:rPr>
            </w:pPr>
            <w:r w:rsidRPr="007678FC">
              <w:rPr>
                <w:rFonts w:eastAsia="Times"/>
              </w:rPr>
              <w:t>New or Established Patient Preventive Medicine, Individual Counseling:  99401–99404</w:t>
            </w:r>
          </w:p>
          <w:p w:rsidR="00B33EF7" w:rsidRPr="007678FC" w:rsidRDefault="00B33EF7" w:rsidP="00F46B28">
            <w:pPr>
              <w:numPr>
                <w:ilvl w:val="0"/>
                <w:numId w:val="5"/>
              </w:numPr>
              <w:rPr>
                <w:rFonts w:eastAsia="Times"/>
              </w:rPr>
            </w:pPr>
            <w:r w:rsidRPr="007678FC">
              <w:rPr>
                <w:rFonts w:eastAsia="Times"/>
              </w:rPr>
              <w:t>New or Established Patient Behavior Change Interventions, Individual:  99406-99409</w:t>
            </w:r>
          </w:p>
          <w:p w:rsidR="00B33EF7" w:rsidRPr="007678FC" w:rsidRDefault="00B33EF7" w:rsidP="00F46B28">
            <w:pPr>
              <w:numPr>
                <w:ilvl w:val="0"/>
                <w:numId w:val="5"/>
              </w:numPr>
              <w:rPr>
                <w:rFonts w:eastAsia="Times"/>
                <w:b/>
                <w:bCs/>
              </w:rPr>
            </w:pPr>
            <w:r w:rsidRPr="007678FC">
              <w:rPr>
                <w:rFonts w:eastAsia="Times"/>
              </w:rPr>
              <w:t>New or Established Patient Preventive Medicine, Group Counseling:  99411–99412</w:t>
            </w:r>
          </w:p>
        </w:tc>
      </w:tr>
      <w:tr w:rsidR="00B33EF7" w:rsidRPr="007678FC" w:rsidTr="00310A7D">
        <w:trPr>
          <w:trHeight w:val="620"/>
        </w:trPr>
        <w:tc>
          <w:tcPr>
            <w:tcW w:w="8460" w:type="dxa"/>
            <w:vAlign w:val="bottom"/>
          </w:tcPr>
          <w:p w:rsidR="00B33EF7" w:rsidRPr="007678FC" w:rsidRDefault="00B33EF7" w:rsidP="00B33EF7">
            <w:pPr>
              <w:rPr>
                <w:b/>
                <w:bCs/>
              </w:rPr>
            </w:pPr>
            <w:r w:rsidRPr="007678FC">
              <w:rPr>
                <w:b/>
                <w:bCs/>
              </w:rPr>
              <w:t>Other Preventive Medicine Services – Administration and interpretation:</w:t>
            </w:r>
          </w:p>
          <w:p w:rsidR="00B33EF7" w:rsidRPr="007678FC" w:rsidRDefault="00B33EF7" w:rsidP="00F46B28">
            <w:pPr>
              <w:numPr>
                <w:ilvl w:val="0"/>
                <w:numId w:val="8"/>
              </w:numPr>
              <w:spacing w:after="200" w:line="276" w:lineRule="auto"/>
              <w:contextualSpacing/>
              <w:rPr>
                <w:rFonts w:eastAsia="Times"/>
                <w:b/>
                <w:bCs/>
              </w:rPr>
            </w:pPr>
            <w:r w:rsidRPr="007678FC">
              <w:rPr>
                <w:rFonts w:eastAsia="Times"/>
              </w:rPr>
              <w:t>99420</w:t>
            </w:r>
          </w:p>
        </w:tc>
      </w:tr>
      <w:tr w:rsidR="00B33EF7" w:rsidRPr="007678FC" w:rsidTr="00310A7D">
        <w:tc>
          <w:tcPr>
            <w:tcW w:w="8460" w:type="dxa"/>
            <w:vAlign w:val="bottom"/>
          </w:tcPr>
          <w:p w:rsidR="00B33EF7" w:rsidRPr="007678FC" w:rsidRDefault="00B33EF7" w:rsidP="00B33EF7">
            <w:pPr>
              <w:rPr>
                <w:b/>
                <w:bCs/>
              </w:rPr>
            </w:pPr>
            <w:r w:rsidRPr="007678FC">
              <w:rPr>
                <w:b/>
                <w:bCs/>
              </w:rPr>
              <w:t>Other Preventive Medicine Services – Unlisted preventive:</w:t>
            </w:r>
          </w:p>
          <w:p w:rsidR="00B33EF7" w:rsidRPr="007678FC" w:rsidRDefault="00B33EF7" w:rsidP="00F46B28">
            <w:pPr>
              <w:numPr>
                <w:ilvl w:val="0"/>
                <w:numId w:val="8"/>
              </w:numPr>
              <w:spacing w:after="200" w:line="276" w:lineRule="auto"/>
              <w:contextualSpacing/>
              <w:rPr>
                <w:rFonts w:eastAsia="Times"/>
                <w:b/>
                <w:bCs/>
              </w:rPr>
            </w:pPr>
            <w:r w:rsidRPr="007678FC">
              <w:rPr>
                <w:rFonts w:eastAsia="Times"/>
              </w:rPr>
              <w:t>99429</w:t>
            </w:r>
          </w:p>
        </w:tc>
      </w:tr>
      <w:tr w:rsidR="00B33EF7" w:rsidRPr="007678FC" w:rsidTr="00310A7D">
        <w:tc>
          <w:tcPr>
            <w:tcW w:w="8460" w:type="dxa"/>
            <w:vAlign w:val="bottom"/>
          </w:tcPr>
          <w:p w:rsidR="00B33EF7" w:rsidRPr="007678FC" w:rsidRDefault="00B33EF7" w:rsidP="00B33EF7">
            <w:pPr>
              <w:rPr>
                <w:b/>
                <w:bCs/>
              </w:rPr>
            </w:pPr>
            <w:r w:rsidRPr="007678FC">
              <w:rPr>
                <w:b/>
                <w:bCs/>
              </w:rPr>
              <w:t>Newborn Care Services</w:t>
            </w:r>
          </w:p>
          <w:p w:rsidR="00B33EF7" w:rsidRPr="007678FC" w:rsidRDefault="00B33EF7" w:rsidP="00F46B28">
            <w:pPr>
              <w:numPr>
                <w:ilvl w:val="0"/>
                <w:numId w:val="8"/>
              </w:numPr>
              <w:rPr>
                <w:bCs/>
              </w:rPr>
            </w:pPr>
            <w:r w:rsidRPr="007678FC">
              <w:rPr>
                <w:bCs/>
              </w:rPr>
              <w:t>Initial and subsequent care for evaluation and management of normal newborn infant:  99460-99463</w:t>
            </w:r>
          </w:p>
          <w:p w:rsidR="00B33EF7" w:rsidRPr="007678FC" w:rsidRDefault="00B33EF7" w:rsidP="00F46B28">
            <w:pPr>
              <w:numPr>
                <w:ilvl w:val="0"/>
                <w:numId w:val="8"/>
              </w:numPr>
              <w:rPr>
                <w:bCs/>
              </w:rPr>
            </w:pPr>
            <w:r w:rsidRPr="007678FC">
              <w:rPr>
                <w:bCs/>
              </w:rPr>
              <w:t>Attendance at delivery (when requested by the delivering physician) and initial stabilization of newborn:  99464</w:t>
            </w:r>
          </w:p>
          <w:p w:rsidR="00B33EF7" w:rsidRPr="007678FC" w:rsidRDefault="00B33EF7" w:rsidP="00F46B28">
            <w:pPr>
              <w:numPr>
                <w:ilvl w:val="0"/>
                <w:numId w:val="8"/>
              </w:numPr>
              <w:rPr>
                <w:bCs/>
              </w:rPr>
            </w:pPr>
            <w:r w:rsidRPr="007678FC">
              <w:rPr>
                <w:bCs/>
              </w:rPr>
              <w:t>Delivery/birthing room resuscitation:  99465</w:t>
            </w:r>
          </w:p>
        </w:tc>
      </w:tr>
      <w:tr w:rsidR="00B33EF7" w:rsidRPr="007678FC" w:rsidTr="00310A7D">
        <w:tc>
          <w:tcPr>
            <w:tcW w:w="8460" w:type="dxa"/>
            <w:vAlign w:val="bottom"/>
          </w:tcPr>
          <w:p w:rsidR="00B33EF7" w:rsidRPr="007678FC" w:rsidRDefault="00B33EF7" w:rsidP="00B33EF7">
            <w:pPr>
              <w:rPr>
                <w:b/>
                <w:bCs/>
              </w:rPr>
            </w:pPr>
            <w:r w:rsidRPr="007678FC">
              <w:rPr>
                <w:b/>
                <w:bCs/>
              </w:rPr>
              <w:t xml:space="preserve">Federally Qualified </w:t>
            </w:r>
            <w:smartTag w:uri="urn:schemas-microsoft-com:office:smarttags" w:element="place">
              <w:smartTag w:uri="urn:schemas-microsoft-com:office:smarttags" w:element="PlaceName">
                <w:r w:rsidRPr="007678FC">
                  <w:rPr>
                    <w:b/>
                    <w:bCs/>
                  </w:rPr>
                  <w:t>Health</w:t>
                </w:r>
              </w:smartTag>
              <w:r w:rsidRPr="007678FC">
                <w:rPr>
                  <w:b/>
                  <w:bCs/>
                </w:rPr>
                <w:t xml:space="preserve"> </w:t>
              </w:r>
              <w:smartTag w:uri="urn:schemas-microsoft-com:office:smarttags" w:element="PlaceType">
                <w:r w:rsidRPr="007678FC">
                  <w:rPr>
                    <w:b/>
                    <w:bCs/>
                  </w:rPr>
                  <w:t>Center</w:t>
                </w:r>
              </w:smartTag>
            </w:smartTag>
            <w:r w:rsidRPr="007678FC">
              <w:rPr>
                <w:b/>
                <w:bCs/>
              </w:rPr>
              <w:t xml:space="preserve"> (FQHC) – Global Visit</w:t>
            </w:r>
          </w:p>
          <w:p w:rsidR="00B33EF7" w:rsidRPr="007678FC" w:rsidRDefault="00B33EF7" w:rsidP="00B33EF7">
            <w:pPr>
              <w:rPr>
                <w:b/>
                <w:bCs/>
                <w:i/>
              </w:rPr>
            </w:pPr>
            <w:r w:rsidRPr="007678FC">
              <w:rPr>
                <w:b/>
                <w:bCs/>
                <w:i/>
                <w:u w:val="single"/>
              </w:rPr>
              <w:t>( billed as a revenue code on an institutional claim form</w:t>
            </w:r>
            <w:r w:rsidRPr="007678FC">
              <w:rPr>
                <w:b/>
                <w:bCs/>
                <w:i/>
              </w:rPr>
              <w:t>)</w:t>
            </w:r>
          </w:p>
          <w:p w:rsidR="00B33EF7" w:rsidRPr="007678FC" w:rsidRDefault="00B33EF7" w:rsidP="00F46B28">
            <w:pPr>
              <w:numPr>
                <w:ilvl w:val="0"/>
                <w:numId w:val="8"/>
              </w:numPr>
              <w:tabs>
                <w:tab w:val="left" w:pos="432"/>
              </w:tabs>
              <w:spacing w:after="200" w:line="276" w:lineRule="auto"/>
              <w:contextualSpacing/>
              <w:rPr>
                <w:rFonts w:eastAsia="Times"/>
              </w:rPr>
            </w:pPr>
            <w:r w:rsidRPr="007678FC">
              <w:rPr>
                <w:rFonts w:eastAsia="Times"/>
              </w:rPr>
              <w:t>0521 = Clinic visit by member to RHC/FQHC;</w:t>
            </w:r>
          </w:p>
          <w:p w:rsidR="00B33EF7" w:rsidRPr="007678FC" w:rsidRDefault="00B33EF7" w:rsidP="00F46B28">
            <w:pPr>
              <w:numPr>
                <w:ilvl w:val="0"/>
                <w:numId w:val="8"/>
              </w:numPr>
              <w:spacing w:after="200" w:line="276" w:lineRule="auto"/>
              <w:contextualSpacing/>
              <w:rPr>
                <w:rFonts w:eastAsia="Times"/>
                <w:b/>
                <w:bCs/>
              </w:rPr>
            </w:pPr>
            <w:r w:rsidRPr="007678FC">
              <w:rPr>
                <w:rFonts w:eastAsia="Times"/>
              </w:rPr>
              <w:t>0522 = Home visit by RHC/FQHC practitioner</w:t>
            </w:r>
          </w:p>
          <w:p w:rsidR="00B33EF7" w:rsidRPr="007678FC" w:rsidRDefault="00B33EF7" w:rsidP="00F46B28">
            <w:pPr>
              <w:numPr>
                <w:ilvl w:val="0"/>
                <w:numId w:val="8"/>
              </w:numPr>
              <w:spacing w:after="200" w:line="276" w:lineRule="auto"/>
              <w:contextualSpacing/>
              <w:rPr>
                <w:rFonts w:eastAsia="Times"/>
                <w:b/>
                <w:bCs/>
              </w:rPr>
            </w:pPr>
            <w:r w:rsidRPr="007678FC">
              <w:rPr>
                <w:rFonts w:eastAsia="Times"/>
              </w:rPr>
              <w:t>0525 = Nursing home visit by RHC/FQHC practitioner</w:t>
            </w:r>
          </w:p>
        </w:tc>
      </w:tr>
    </w:tbl>
    <w:p w:rsidR="00B33EF7" w:rsidRPr="007678FC" w:rsidRDefault="00B33EF7" w:rsidP="00B33EF7">
      <w:pPr>
        <w:tabs>
          <w:tab w:val="left" w:pos="2250"/>
          <w:tab w:val="left" w:pos="2970"/>
        </w:tabs>
      </w:pPr>
    </w:p>
    <w:p w:rsidR="00B33EF7" w:rsidRPr="007678FC" w:rsidRDefault="00B33EF7" w:rsidP="00F46B28">
      <w:pPr>
        <w:numPr>
          <w:ilvl w:val="0"/>
          <w:numId w:val="10"/>
        </w:numPr>
        <w:tabs>
          <w:tab w:val="left" w:pos="810"/>
        </w:tabs>
        <w:ind w:left="810" w:hanging="450"/>
        <w:contextualSpacing/>
        <w:rPr>
          <w:rFonts w:eastAsia="Times"/>
        </w:rPr>
      </w:pPr>
      <w:r w:rsidRPr="007678FC">
        <w:rPr>
          <w:rFonts w:eastAsia="Times"/>
        </w:rPr>
        <w:t xml:space="preserve">Assign a member/beneficiary to the practice where s/he had the greatest number of qualifying claims.  A practice shall be identified by the NPIs of the individual providers associated with it. </w:t>
      </w:r>
    </w:p>
    <w:p w:rsidR="00B33EF7" w:rsidRPr="007678FC" w:rsidRDefault="00B33EF7" w:rsidP="00B33EF7">
      <w:pPr>
        <w:tabs>
          <w:tab w:val="left" w:pos="810"/>
        </w:tabs>
        <w:ind w:left="810" w:hanging="450"/>
        <w:rPr>
          <w:rFonts w:eastAsia="Times"/>
        </w:rPr>
      </w:pPr>
    </w:p>
    <w:p w:rsidR="00B33EF7" w:rsidRPr="007678FC" w:rsidRDefault="00B33EF7" w:rsidP="00F46B28">
      <w:pPr>
        <w:numPr>
          <w:ilvl w:val="0"/>
          <w:numId w:val="10"/>
        </w:numPr>
        <w:tabs>
          <w:tab w:val="left" w:pos="810"/>
        </w:tabs>
        <w:ind w:left="810" w:hanging="450"/>
        <w:contextualSpacing/>
        <w:rPr>
          <w:rFonts w:eastAsia="Times"/>
        </w:rPr>
      </w:pPr>
      <w:r w:rsidRPr="007678FC">
        <w:rPr>
          <w:rFonts w:eastAsia="Times"/>
        </w:rPr>
        <w:t xml:space="preserve">If a member/beneficiary has an equal number of qualifying visits to more than one practice, assign the member/beneficiary to the one with the most recent visit. </w:t>
      </w:r>
    </w:p>
    <w:p w:rsidR="00B33EF7" w:rsidRPr="007678FC" w:rsidRDefault="00B33EF7" w:rsidP="00B33EF7">
      <w:pPr>
        <w:ind w:left="720"/>
        <w:rPr>
          <w:rFonts w:eastAsia="Times"/>
        </w:rPr>
      </w:pPr>
    </w:p>
    <w:p w:rsidR="00B33EF7" w:rsidRPr="007678FC" w:rsidRDefault="00B33EF7" w:rsidP="00F46B28">
      <w:pPr>
        <w:numPr>
          <w:ilvl w:val="0"/>
          <w:numId w:val="10"/>
        </w:numPr>
        <w:tabs>
          <w:tab w:val="left" w:pos="810"/>
        </w:tabs>
        <w:ind w:left="810" w:hanging="450"/>
        <w:contextualSpacing/>
        <w:rPr>
          <w:rFonts w:eastAsia="Times"/>
        </w:rPr>
      </w:pPr>
      <w:r w:rsidRPr="007678FC">
        <w:rPr>
          <w:rFonts w:eastAsia="Times"/>
        </w:rPr>
        <w:t>Insurers can choose to apply elements in addition to 5. and 6. above when conducting their attribution.  However, at a minimum use the greatest number of claims (5. above), followed by the most recent claim if there is a tie (6. above).</w:t>
      </w:r>
    </w:p>
    <w:p w:rsidR="00B33EF7" w:rsidRPr="007678FC" w:rsidRDefault="00B33EF7" w:rsidP="00B33EF7">
      <w:pPr>
        <w:tabs>
          <w:tab w:val="left" w:pos="810"/>
        </w:tabs>
        <w:contextualSpacing/>
        <w:rPr>
          <w:rFonts w:eastAsia="Times"/>
        </w:rPr>
      </w:pPr>
    </w:p>
    <w:p w:rsidR="00B33EF7" w:rsidRPr="007678FC" w:rsidRDefault="00B33EF7" w:rsidP="00F46B28">
      <w:pPr>
        <w:numPr>
          <w:ilvl w:val="0"/>
          <w:numId w:val="10"/>
        </w:numPr>
        <w:tabs>
          <w:tab w:val="left" w:pos="810"/>
        </w:tabs>
        <w:ind w:left="810" w:hanging="450"/>
        <w:contextualSpacing/>
        <w:rPr>
          <w:rFonts w:eastAsia="Times"/>
        </w:rPr>
      </w:pPr>
      <w:r w:rsidRPr="007678FC">
        <w:rPr>
          <w:rFonts w:eastAsia="Times"/>
        </w:rPr>
        <w:t>Insurers will run their attributions at least quarterly.  Medicaid plans to continue to run their attribution monthly, and CIGNA plans to move from semi-annual to quarterly attribution in April of 2013.</w:t>
      </w:r>
    </w:p>
    <w:p w:rsidR="00B33EF7" w:rsidRPr="007678FC" w:rsidRDefault="00B33EF7" w:rsidP="00B33EF7">
      <w:pPr>
        <w:ind w:left="720"/>
        <w:rPr>
          <w:rFonts w:eastAsia="Times"/>
        </w:rPr>
      </w:pPr>
    </w:p>
    <w:p w:rsidR="00B33EF7" w:rsidRPr="007678FC" w:rsidRDefault="00B33EF7" w:rsidP="00F46B28">
      <w:pPr>
        <w:numPr>
          <w:ilvl w:val="0"/>
          <w:numId w:val="10"/>
        </w:numPr>
        <w:tabs>
          <w:tab w:val="left" w:pos="810"/>
        </w:tabs>
        <w:ind w:left="810" w:hanging="450"/>
        <w:contextualSpacing/>
        <w:rPr>
          <w:rFonts w:eastAsia="Times"/>
        </w:rPr>
      </w:pPr>
      <w:r w:rsidRPr="007678FC">
        <w:rPr>
          <w:rFonts w:eastAsia="Times"/>
        </w:rPr>
        <w:lastRenderedPageBreak/>
        <w:t>Insurers will make PPPM payments at least quarterly, by the 15</w:t>
      </w:r>
      <w:r w:rsidRPr="007678FC">
        <w:rPr>
          <w:rFonts w:eastAsia="Times"/>
          <w:vertAlign w:val="superscript"/>
        </w:rPr>
        <w:t>th</w:t>
      </w:r>
      <w:r w:rsidRPr="007678FC">
        <w:rPr>
          <w:rFonts w:eastAsia="Times"/>
        </w:rPr>
        <w:t xml:space="preserve"> of the second month of the quarter.  CIGNA plans to move from semi-annual to quarterly payment in April of 2013.  Base </w:t>
      </w:r>
      <w:r w:rsidRPr="007678FC">
        <w:rPr>
          <w:rFonts w:ascii="Times" w:eastAsia="Times" w:hAnsi="Times"/>
        </w:rPr>
        <w:t>PPPM payments on the most current PPPM rate that insurers have received from the Blueprint prior to check production.</w:t>
      </w:r>
    </w:p>
    <w:p w:rsidR="00B33EF7" w:rsidRPr="007678FC" w:rsidRDefault="00B33EF7" w:rsidP="00B33EF7">
      <w:pPr>
        <w:tabs>
          <w:tab w:val="left" w:pos="810"/>
        </w:tabs>
        <w:contextualSpacing/>
        <w:rPr>
          <w:rFonts w:eastAsia="Times"/>
        </w:rPr>
      </w:pPr>
    </w:p>
    <w:p w:rsidR="00B33EF7" w:rsidRPr="007678FC" w:rsidRDefault="00B33EF7" w:rsidP="00F46B28">
      <w:pPr>
        <w:numPr>
          <w:ilvl w:val="0"/>
          <w:numId w:val="10"/>
        </w:numPr>
        <w:tabs>
          <w:tab w:val="left" w:pos="810"/>
        </w:tabs>
        <w:ind w:left="810" w:hanging="450"/>
        <w:contextualSpacing/>
        <w:rPr>
          <w:rFonts w:eastAsia="Times"/>
        </w:rPr>
      </w:pPr>
      <w:r w:rsidRPr="007678FC">
        <w:rPr>
          <w:rFonts w:eastAsia="Times"/>
        </w:rPr>
        <w:t xml:space="preserve">For insurers paying quarterly: if a new practice goes live in the third month of a quarter, add that practice to the attribution and payment schedule for the subsequent quarter.  Payment would be made for the first month of participation, but it would be based on the attribution for the subsequent quarter and would be included in the subsequent quarter’s payment.  For example, if a practice becomes recognized on 3/1/2013, payment for 3/1/2013 through 6/30/2013 would occur by 5/15/13. </w:t>
      </w:r>
    </w:p>
    <w:p w:rsidR="00B33EF7" w:rsidRPr="007678FC" w:rsidRDefault="00B33EF7" w:rsidP="00B33EF7">
      <w:pPr>
        <w:ind w:left="720"/>
        <w:rPr>
          <w:rFonts w:eastAsia="Times"/>
        </w:rPr>
      </w:pPr>
    </w:p>
    <w:p w:rsidR="00B67ADB" w:rsidRPr="007678FC" w:rsidRDefault="00B67ADB" w:rsidP="0081028E">
      <w:pPr>
        <w:pStyle w:val="AppendixSubheading"/>
        <w:jc w:val="center"/>
        <w:rPr>
          <w:b/>
        </w:rPr>
      </w:pPr>
      <w:r w:rsidRPr="007678FC">
        <w:br w:type="page"/>
      </w:r>
      <w:bookmarkStart w:id="145" w:name="_Toc419884346"/>
      <w:bookmarkStart w:id="146" w:name="_Toc440036741"/>
      <w:bookmarkStart w:id="147" w:name="_Toc521488621"/>
      <w:r w:rsidR="00776E59" w:rsidRPr="007678FC">
        <w:rPr>
          <w:b/>
        </w:rPr>
        <w:lastRenderedPageBreak/>
        <w:t xml:space="preserve">APPENDIX </w:t>
      </w:r>
      <w:r w:rsidR="007A6A0B" w:rsidRPr="007678FC">
        <w:rPr>
          <w:b/>
        </w:rPr>
        <w:t>4</w:t>
      </w:r>
      <w:bookmarkEnd w:id="145"/>
      <w:bookmarkEnd w:id="146"/>
      <w:bookmarkEnd w:id="147"/>
    </w:p>
    <w:p w:rsidR="00B67ADB" w:rsidRPr="007678FC" w:rsidRDefault="008C1B09" w:rsidP="00B67ADB">
      <w:pPr>
        <w:jc w:val="center"/>
        <w:rPr>
          <w:rFonts w:eastAsia="Times"/>
          <w:b/>
          <w:caps/>
        </w:rPr>
      </w:pPr>
      <w:r w:rsidRPr="007678FC">
        <w:rPr>
          <w:rFonts w:eastAsia="Times"/>
          <w:b/>
        </w:rPr>
        <w:t>MEDICARE DEMONSTRATION PROJECT</w:t>
      </w:r>
    </w:p>
    <w:p w:rsidR="00B67ADB" w:rsidRPr="007678FC" w:rsidRDefault="008C1B09" w:rsidP="00B67ADB">
      <w:pPr>
        <w:jc w:val="center"/>
        <w:rPr>
          <w:rFonts w:eastAsia="Times"/>
          <w:b/>
          <w:caps/>
        </w:rPr>
      </w:pPr>
      <w:r w:rsidRPr="007678FC">
        <w:rPr>
          <w:rFonts w:eastAsia="Times"/>
          <w:b/>
          <w:caps/>
        </w:rPr>
        <w:t>VERMONT BENEFICIARY ASSIGNMENT ALGORITHM</w:t>
      </w:r>
    </w:p>
    <w:p w:rsidR="00B67ADB" w:rsidRPr="007678FC" w:rsidRDefault="00B67ADB" w:rsidP="00B67ADB">
      <w:pPr>
        <w:ind w:left="360"/>
        <w:rPr>
          <w:rFonts w:eastAsia="Times"/>
          <w:b/>
        </w:rPr>
      </w:pPr>
    </w:p>
    <w:p w:rsidR="00B67ADB" w:rsidRPr="007678FC" w:rsidRDefault="00B67ADB" w:rsidP="00B67ADB">
      <w:pPr>
        <w:ind w:left="360"/>
        <w:contextualSpacing/>
        <w:rPr>
          <w:rFonts w:eastAsia="Times"/>
        </w:rPr>
      </w:pPr>
      <w:r w:rsidRPr="007678FC">
        <w:rPr>
          <w:rFonts w:eastAsia="Times"/>
        </w:rPr>
        <w:t>1.</w:t>
      </w:r>
      <w:r w:rsidRPr="007678FC">
        <w:rPr>
          <w:rFonts w:eastAsia="Times"/>
        </w:rPr>
        <w:tab/>
        <w:t>The look back period is the most recent 24 months for which claims are available.</w:t>
      </w:r>
    </w:p>
    <w:p w:rsidR="00B67ADB" w:rsidRPr="007678FC" w:rsidRDefault="00B67ADB" w:rsidP="00B67ADB">
      <w:pPr>
        <w:ind w:left="360"/>
        <w:contextualSpacing/>
        <w:rPr>
          <w:rFonts w:eastAsia="Times"/>
        </w:rPr>
      </w:pPr>
    </w:p>
    <w:p w:rsidR="00B67ADB" w:rsidRPr="007678FC" w:rsidRDefault="00B67ADB" w:rsidP="00B67ADB">
      <w:pPr>
        <w:ind w:left="720" w:hanging="360"/>
        <w:contextualSpacing/>
        <w:rPr>
          <w:rFonts w:eastAsia="Times"/>
        </w:rPr>
      </w:pPr>
      <w:r w:rsidRPr="007678FC">
        <w:rPr>
          <w:rFonts w:eastAsia="Times"/>
        </w:rPr>
        <w:t xml:space="preserve">2. </w:t>
      </w:r>
      <w:r w:rsidRPr="007678FC">
        <w:rPr>
          <w:rFonts w:eastAsia="Times"/>
        </w:rPr>
        <w:tab/>
        <w:t xml:space="preserve">Identify all </w:t>
      </w:r>
      <w:r w:rsidR="008C1B09" w:rsidRPr="007678FC">
        <w:rPr>
          <w:rFonts w:eastAsia="Times"/>
        </w:rPr>
        <w:t xml:space="preserve">Medicare </w:t>
      </w:r>
      <w:r w:rsidRPr="007678FC">
        <w:rPr>
          <w:rFonts w:eastAsia="Times"/>
        </w:rPr>
        <w:t>beneficiaries who meet the following criteria as of the last day in the look back period:</w:t>
      </w:r>
    </w:p>
    <w:p w:rsidR="00B67ADB" w:rsidRPr="007678FC" w:rsidRDefault="00B67ADB" w:rsidP="00F46B28">
      <w:pPr>
        <w:numPr>
          <w:ilvl w:val="0"/>
          <w:numId w:val="11"/>
        </w:numPr>
        <w:tabs>
          <w:tab w:val="left" w:pos="1080"/>
        </w:tabs>
        <w:ind w:left="1080"/>
        <w:contextualSpacing/>
        <w:rPr>
          <w:rFonts w:eastAsia="Times"/>
        </w:rPr>
      </w:pPr>
      <w:r w:rsidRPr="007678FC">
        <w:rPr>
          <w:rFonts w:eastAsia="Times"/>
        </w:rPr>
        <w:t>Reside in Vermont;</w:t>
      </w:r>
    </w:p>
    <w:p w:rsidR="008C1B09" w:rsidRPr="007678FC" w:rsidRDefault="008C1B09" w:rsidP="00F46B28">
      <w:pPr>
        <w:numPr>
          <w:ilvl w:val="0"/>
          <w:numId w:val="11"/>
        </w:numPr>
        <w:tabs>
          <w:tab w:val="left" w:pos="1080"/>
        </w:tabs>
        <w:ind w:left="1080"/>
        <w:contextualSpacing/>
        <w:rPr>
          <w:rFonts w:eastAsia="Times"/>
        </w:rPr>
      </w:pPr>
      <w:r w:rsidRPr="007678FC">
        <w:rPr>
          <w:rFonts w:eastAsia="Times"/>
        </w:rPr>
        <w:t>Have both Medicare Parts A &amp; B;</w:t>
      </w:r>
    </w:p>
    <w:p w:rsidR="00B67ADB" w:rsidRPr="007678FC" w:rsidRDefault="008C1B09" w:rsidP="00F46B28">
      <w:pPr>
        <w:numPr>
          <w:ilvl w:val="0"/>
          <w:numId w:val="11"/>
        </w:numPr>
        <w:tabs>
          <w:tab w:val="left" w:pos="1080"/>
        </w:tabs>
        <w:ind w:left="1080"/>
        <w:contextualSpacing/>
        <w:rPr>
          <w:rFonts w:eastAsia="Times"/>
        </w:rPr>
      </w:pPr>
      <w:r w:rsidRPr="007678FC">
        <w:rPr>
          <w:rFonts w:eastAsia="Times"/>
        </w:rPr>
        <w:t>Are covered under the traditional Medicare Fee-For-Service Program and are not enrolled in a Medicare Advantage or other Medicare health plan; and</w:t>
      </w:r>
    </w:p>
    <w:p w:rsidR="00B67ADB" w:rsidRPr="007678FC" w:rsidRDefault="008C1B09" w:rsidP="00F46B28">
      <w:pPr>
        <w:numPr>
          <w:ilvl w:val="0"/>
          <w:numId w:val="11"/>
        </w:numPr>
        <w:tabs>
          <w:tab w:val="left" w:pos="1080"/>
        </w:tabs>
        <w:ind w:left="1080"/>
        <w:contextualSpacing/>
        <w:rPr>
          <w:rFonts w:eastAsia="Times"/>
        </w:rPr>
      </w:pPr>
      <w:r w:rsidRPr="007678FC">
        <w:rPr>
          <w:rFonts w:eastAsia="Times"/>
        </w:rPr>
        <w:t>Medicare</w:t>
      </w:r>
      <w:r w:rsidR="00B67ADB" w:rsidRPr="007678FC">
        <w:rPr>
          <w:rFonts w:eastAsia="Times"/>
        </w:rPr>
        <w:t xml:space="preserve"> is the primary payer.</w:t>
      </w:r>
    </w:p>
    <w:p w:rsidR="00B67ADB" w:rsidRPr="007678FC" w:rsidRDefault="00B67ADB" w:rsidP="00B67ADB">
      <w:pPr>
        <w:ind w:left="1620"/>
        <w:rPr>
          <w:rFonts w:eastAsia="Times"/>
        </w:rPr>
      </w:pPr>
    </w:p>
    <w:p w:rsidR="00B67ADB" w:rsidRPr="007678FC" w:rsidRDefault="00B67ADB" w:rsidP="00BC7929">
      <w:pPr>
        <w:tabs>
          <w:tab w:val="left" w:pos="720"/>
        </w:tabs>
        <w:ind w:left="720" w:hanging="720"/>
        <w:contextualSpacing/>
        <w:rPr>
          <w:rFonts w:eastAsia="Times"/>
          <w:u w:val="single"/>
        </w:rPr>
      </w:pPr>
      <w:r w:rsidRPr="007678FC">
        <w:rPr>
          <w:rFonts w:eastAsia="Times"/>
        </w:rPr>
        <w:t xml:space="preserve">      3.</w:t>
      </w:r>
      <w:r w:rsidRPr="007678FC">
        <w:rPr>
          <w:rFonts w:eastAsia="Times"/>
        </w:rPr>
        <w:tab/>
      </w:r>
      <w:r w:rsidR="008C1B09" w:rsidRPr="007678FC">
        <w:rPr>
          <w:rFonts w:eastAsia="Times"/>
        </w:rPr>
        <w:t>S</w:t>
      </w:r>
      <w:r w:rsidRPr="007678FC">
        <w:rPr>
          <w:rFonts w:eastAsia="Times"/>
        </w:rPr>
        <w:t>elect all claims for beneficiaries identified in step 2 with the following qualifying CPT Codes in the look back</w:t>
      </w:r>
      <w:r w:rsidR="00BC7929" w:rsidRPr="007678FC">
        <w:rPr>
          <w:rFonts w:eastAsia="Times"/>
        </w:rPr>
        <w:t xml:space="preserve"> period (most recent 24 months)</w:t>
      </w:r>
      <w:r w:rsidRPr="007678FC">
        <w:rPr>
          <w:rFonts w:eastAsia="Times"/>
        </w:rPr>
        <w:t xml:space="preserve"> </w:t>
      </w:r>
      <w:r w:rsidRPr="007678FC">
        <w:rPr>
          <w:rFonts w:eastAsia="Times"/>
          <w:u w:val="single"/>
        </w:rPr>
        <w:t>where the provider specialty is internal medicine, general medicine, geria</w:t>
      </w:r>
      <w:r w:rsidR="00BC7929" w:rsidRPr="007678FC">
        <w:rPr>
          <w:rFonts w:eastAsia="Times"/>
          <w:u w:val="single"/>
        </w:rPr>
        <w:t>tric medicine, family medicine</w:t>
      </w:r>
      <w:r w:rsidRPr="007678FC">
        <w:rPr>
          <w:rFonts w:eastAsia="Times"/>
          <w:u w:val="single"/>
        </w:rPr>
        <w:t>, nurse practitioner, or physician assistant; or where the provider is an FQHC.</w:t>
      </w:r>
    </w:p>
    <w:p w:rsidR="00B67ADB" w:rsidRPr="007678FC" w:rsidRDefault="00B67ADB" w:rsidP="00B67ADB">
      <w:pPr>
        <w:jc w:val="center"/>
        <w:rPr>
          <w:b/>
          <w:lang w:val="fr-FR"/>
        </w:rPr>
      </w:pPr>
    </w:p>
    <w:tbl>
      <w:tblPr>
        <w:tblW w:w="846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0"/>
      </w:tblGrid>
      <w:tr w:rsidR="00B67ADB" w:rsidRPr="007678FC" w:rsidTr="00310A7D">
        <w:trPr>
          <w:cantSplit/>
          <w:tblHeader/>
        </w:trPr>
        <w:tc>
          <w:tcPr>
            <w:tcW w:w="8460" w:type="dxa"/>
            <w:shd w:val="clear" w:color="auto" w:fill="D6E3BC"/>
            <w:vAlign w:val="bottom"/>
          </w:tcPr>
          <w:p w:rsidR="00B67ADB" w:rsidRPr="007678FC" w:rsidRDefault="00B67ADB" w:rsidP="00F61CF2">
            <w:pPr>
              <w:jc w:val="center"/>
              <w:rPr>
                <w:b/>
                <w:bCs/>
              </w:rPr>
            </w:pPr>
            <w:r w:rsidRPr="007678FC">
              <w:rPr>
                <w:b/>
                <w:bCs/>
              </w:rPr>
              <w:t>CPT-4 Code Description Summary</w:t>
            </w:r>
          </w:p>
        </w:tc>
      </w:tr>
      <w:tr w:rsidR="00B67ADB" w:rsidRPr="007678FC" w:rsidTr="00310A7D">
        <w:tc>
          <w:tcPr>
            <w:tcW w:w="8460" w:type="dxa"/>
            <w:vAlign w:val="bottom"/>
          </w:tcPr>
          <w:p w:rsidR="00B67ADB" w:rsidRPr="007678FC" w:rsidRDefault="00B67ADB" w:rsidP="00F61CF2">
            <w:pPr>
              <w:rPr>
                <w:b/>
                <w:bCs/>
              </w:rPr>
            </w:pPr>
            <w:r w:rsidRPr="007678FC">
              <w:rPr>
                <w:b/>
                <w:bCs/>
              </w:rPr>
              <w:t>Evaluation and Management - Office or Other Outpatient Services</w:t>
            </w:r>
          </w:p>
          <w:p w:rsidR="00B67ADB" w:rsidRPr="007678FC" w:rsidRDefault="00B67ADB" w:rsidP="00F46B28">
            <w:pPr>
              <w:numPr>
                <w:ilvl w:val="2"/>
                <w:numId w:val="4"/>
              </w:numPr>
              <w:rPr>
                <w:rFonts w:eastAsia="Times"/>
              </w:rPr>
            </w:pPr>
            <w:r w:rsidRPr="007678FC">
              <w:rPr>
                <w:rFonts w:eastAsia="Times"/>
              </w:rPr>
              <w:t>New Patient:  99201-99205</w:t>
            </w:r>
          </w:p>
          <w:p w:rsidR="00B67ADB" w:rsidRPr="007678FC" w:rsidRDefault="00B67ADB" w:rsidP="00F46B28">
            <w:pPr>
              <w:numPr>
                <w:ilvl w:val="2"/>
                <w:numId w:val="4"/>
              </w:numPr>
              <w:rPr>
                <w:rFonts w:eastAsia="Times"/>
              </w:rPr>
            </w:pPr>
            <w:r w:rsidRPr="007678FC">
              <w:rPr>
                <w:rFonts w:eastAsia="Times"/>
              </w:rPr>
              <w:t>Established Patient:  99211-99215</w:t>
            </w:r>
          </w:p>
        </w:tc>
      </w:tr>
      <w:tr w:rsidR="00B67ADB" w:rsidRPr="007678FC" w:rsidTr="00310A7D">
        <w:tc>
          <w:tcPr>
            <w:tcW w:w="8460" w:type="dxa"/>
            <w:vAlign w:val="bottom"/>
          </w:tcPr>
          <w:p w:rsidR="00B67ADB" w:rsidRPr="007678FC" w:rsidRDefault="00B67ADB" w:rsidP="00F61CF2">
            <w:pPr>
              <w:rPr>
                <w:b/>
                <w:bCs/>
              </w:rPr>
            </w:pPr>
            <w:r w:rsidRPr="007678FC">
              <w:rPr>
                <w:b/>
                <w:bCs/>
              </w:rPr>
              <w:t>Consultations - Office or Other Outpatient Consultations</w:t>
            </w:r>
          </w:p>
          <w:p w:rsidR="00B67ADB" w:rsidRPr="007678FC" w:rsidRDefault="00B67ADB" w:rsidP="00F46B28">
            <w:pPr>
              <w:numPr>
                <w:ilvl w:val="0"/>
                <w:numId w:val="5"/>
              </w:numPr>
              <w:rPr>
                <w:rFonts w:eastAsia="Times"/>
              </w:rPr>
            </w:pPr>
            <w:r w:rsidRPr="007678FC">
              <w:rPr>
                <w:rFonts w:eastAsia="Times"/>
              </w:rPr>
              <w:t>New or Established Patient:  99241-99245</w:t>
            </w:r>
          </w:p>
        </w:tc>
      </w:tr>
      <w:tr w:rsidR="00B67ADB" w:rsidRPr="007678FC" w:rsidTr="00310A7D">
        <w:tc>
          <w:tcPr>
            <w:tcW w:w="8460" w:type="dxa"/>
            <w:vAlign w:val="bottom"/>
          </w:tcPr>
          <w:p w:rsidR="00B67ADB" w:rsidRPr="007678FC" w:rsidRDefault="00B67ADB" w:rsidP="00F61CF2">
            <w:pPr>
              <w:rPr>
                <w:b/>
                <w:bCs/>
              </w:rPr>
            </w:pPr>
            <w:r w:rsidRPr="007678FC">
              <w:rPr>
                <w:b/>
                <w:bCs/>
              </w:rPr>
              <w:t>Nursing Facility Services:</w:t>
            </w:r>
          </w:p>
          <w:p w:rsidR="00B67ADB" w:rsidRPr="007678FC" w:rsidRDefault="00B67ADB" w:rsidP="00F46B28">
            <w:pPr>
              <w:numPr>
                <w:ilvl w:val="0"/>
                <w:numId w:val="6"/>
              </w:numPr>
              <w:rPr>
                <w:rFonts w:eastAsia="Times"/>
              </w:rPr>
            </w:pPr>
            <w:r w:rsidRPr="007678FC">
              <w:rPr>
                <w:rFonts w:eastAsia="Times"/>
              </w:rPr>
              <w:t>E &amp; M New/Established patient:  99304-99306</w:t>
            </w:r>
          </w:p>
          <w:p w:rsidR="00B67ADB" w:rsidRPr="007678FC" w:rsidRDefault="00B67ADB" w:rsidP="00F46B28">
            <w:pPr>
              <w:numPr>
                <w:ilvl w:val="0"/>
                <w:numId w:val="6"/>
              </w:numPr>
              <w:rPr>
                <w:rFonts w:eastAsia="Times"/>
                <w:b/>
                <w:bCs/>
                <w:noProof/>
              </w:rPr>
            </w:pPr>
            <w:r w:rsidRPr="007678FC">
              <w:rPr>
                <w:rFonts w:eastAsia="Times"/>
              </w:rPr>
              <w:t>Subsequent Nursing Facility Care:  99307-99310</w:t>
            </w:r>
          </w:p>
        </w:tc>
      </w:tr>
      <w:tr w:rsidR="00B67ADB" w:rsidRPr="007678FC" w:rsidTr="00310A7D">
        <w:trPr>
          <w:trHeight w:val="323"/>
        </w:trPr>
        <w:tc>
          <w:tcPr>
            <w:tcW w:w="8460" w:type="dxa"/>
            <w:vAlign w:val="bottom"/>
          </w:tcPr>
          <w:p w:rsidR="00B67ADB" w:rsidRPr="007678FC" w:rsidRDefault="00B67ADB" w:rsidP="00F61CF2">
            <w:pPr>
              <w:rPr>
                <w:b/>
                <w:bCs/>
              </w:rPr>
            </w:pPr>
            <w:r w:rsidRPr="007678FC">
              <w:rPr>
                <w:b/>
                <w:bCs/>
              </w:rPr>
              <w:t>Domiciliary, Rest Home (e.g., Boarding Home), or Custodial Care Service:</w:t>
            </w:r>
          </w:p>
          <w:p w:rsidR="00B67ADB" w:rsidRPr="007678FC" w:rsidRDefault="00B67ADB" w:rsidP="00F46B28">
            <w:pPr>
              <w:numPr>
                <w:ilvl w:val="0"/>
                <w:numId w:val="7"/>
              </w:numPr>
              <w:rPr>
                <w:rFonts w:eastAsia="Times"/>
              </w:rPr>
            </w:pPr>
            <w:r w:rsidRPr="007678FC">
              <w:rPr>
                <w:rFonts w:eastAsia="Times"/>
              </w:rPr>
              <w:t>Domiciliary or Rest Home Visit New Patient:  99324-99328</w:t>
            </w:r>
          </w:p>
          <w:p w:rsidR="00B67ADB" w:rsidRPr="007678FC" w:rsidRDefault="00B67ADB" w:rsidP="00F46B28">
            <w:pPr>
              <w:numPr>
                <w:ilvl w:val="0"/>
                <w:numId w:val="7"/>
              </w:numPr>
              <w:rPr>
                <w:rFonts w:eastAsia="Times"/>
                <w:b/>
                <w:bCs/>
                <w:color w:val="FF0000"/>
              </w:rPr>
            </w:pPr>
            <w:r w:rsidRPr="007678FC">
              <w:rPr>
                <w:rFonts w:eastAsia="Times"/>
              </w:rPr>
              <w:t>Domiciliary or Rest Home Visit Established Patient:  99334-99337</w:t>
            </w:r>
          </w:p>
        </w:tc>
      </w:tr>
      <w:tr w:rsidR="00B67ADB" w:rsidRPr="007678FC" w:rsidTr="00310A7D">
        <w:tc>
          <w:tcPr>
            <w:tcW w:w="8460" w:type="dxa"/>
            <w:vAlign w:val="bottom"/>
          </w:tcPr>
          <w:p w:rsidR="00B67ADB" w:rsidRPr="007678FC" w:rsidRDefault="00B67ADB" w:rsidP="00F61CF2">
            <w:pPr>
              <w:rPr>
                <w:b/>
                <w:bCs/>
              </w:rPr>
            </w:pPr>
            <w:r w:rsidRPr="007678FC">
              <w:rPr>
                <w:b/>
                <w:bCs/>
              </w:rPr>
              <w:t>Home Services</w:t>
            </w:r>
          </w:p>
          <w:p w:rsidR="00B67ADB" w:rsidRPr="007678FC" w:rsidRDefault="00B67ADB" w:rsidP="00F46B28">
            <w:pPr>
              <w:numPr>
                <w:ilvl w:val="2"/>
                <w:numId w:val="4"/>
              </w:numPr>
              <w:rPr>
                <w:rFonts w:eastAsia="Times"/>
              </w:rPr>
            </w:pPr>
            <w:r w:rsidRPr="007678FC">
              <w:rPr>
                <w:rFonts w:eastAsia="Times"/>
              </w:rPr>
              <w:t>New Patient:  99341-99345</w:t>
            </w:r>
          </w:p>
          <w:p w:rsidR="00B67ADB" w:rsidRPr="007678FC" w:rsidRDefault="00B67ADB" w:rsidP="00F46B28">
            <w:pPr>
              <w:numPr>
                <w:ilvl w:val="2"/>
                <w:numId w:val="4"/>
              </w:numPr>
              <w:rPr>
                <w:rFonts w:eastAsia="Times"/>
              </w:rPr>
            </w:pPr>
            <w:r w:rsidRPr="007678FC">
              <w:rPr>
                <w:rFonts w:eastAsia="Times"/>
              </w:rPr>
              <w:t>Established Patient:  99347-99350</w:t>
            </w:r>
          </w:p>
          <w:p w:rsidR="00B67ADB" w:rsidRPr="007678FC" w:rsidRDefault="00B67ADB" w:rsidP="00F61CF2">
            <w:pPr>
              <w:rPr>
                <w:rFonts w:eastAsia="Times"/>
              </w:rPr>
            </w:pPr>
          </w:p>
        </w:tc>
      </w:tr>
      <w:tr w:rsidR="00B67ADB" w:rsidRPr="007678FC" w:rsidTr="00310A7D">
        <w:tc>
          <w:tcPr>
            <w:tcW w:w="8460" w:type="dxa"/>
            <w:vAlign w:val="bottom"/>
          </w:tcPr>
          <w:p w:rsidR="00B67ADB" w:rsidRPr="007678FC" w:rsidRDefault="00B67ADB" w:rsidP="00F61CF2">
            <w:pPr>
              <w:rPr>
                <w:rFonts w:eastAsia="Times"/>
                <w:b/>
                <w:bCs/>
              </w:rPr>
            </w:pPr>
            <w:r w:rsidRPr="007678FC">
              <w:rPr>
                <w:rFonts w:eastAsia="Times"/>
                <w:b/>
                <w:bCs/>
              </w:rPr>
              <w:t>Prolonged Services – Prolonged Physician Service With Direct (Face-to-Face) Patient Contact</w:t>
            </w:r>
          </w:p>
          <w:p w:rsidR="00B67ADB" w:rsidRPr="007678FC" w:rsidRDefault="00B67ADB" w:rsidP="00F46B28">
            <w:pPr>
              <w:numPr>
                <w:ilvl w:val="0"/>
                <w:numId w:val="6"/>
              </w:numPr>
              <w:rPr>
                <w:rFonts w:eastAsia="Times"/>
                <w:b/>
                <w:bCs/>
              </w:rPr>
            </w:pPr>
            <w:r w:rsidRPr="007678FC">
              <w:rPr>
                <w:rFonts w:eastAsia="Times"/>
              </w:rPr>
              <w:t>99354 and 99355</w:t>
            </w:r>
          </w:p>
        </w:tc>
      </w:tr>
      <w:tr w:rsidR="00B67ADB" w:rsidRPr="007678FC" w:rsidTr="00310A7D">
        <w:trPr>
          <w:trHeight w:val="70"/>
        </w:trPr>
        <w:tc>
          <w:tcPr>
            <w:tcW w:w="8460" w:type="dxa"/>
            <w:vAlign w:val="bottom"/>
          </w:tcPr>
          <w:p w:rsidR="00B67ADB" w:rsidRPr="007678FC" w:rsidRDefault="00B67ADB" w:rsidP="00F61CF2">
            <w:pPr>
              <w:rPr>
                <w:rFonts w:eastAsia="Times"/>
                <w:b/>
                <w:bCs/>
              </w:rPr>
            </w:pPr>
            <w:r w:rsidRPr="007678FC">
              <w:rPr>
                <w:rFonts w:eastAsia="Times"/>
                <w:b/>
                <w:bCs/>
              </w:rPr>
              <w:t>Prolonged Services – Prolonged Physician Service Without  Direct (Face-to-Face) Patient Contact</w:t>
            </w:r>
          </w:p>
          <w:p w:rsidR="00B67ADB" w:rsidRPr="007678FC" w:rsidRDefault="00B67ADB" w:rsidP="00F46B28">
            <w:pPr>
              <w:numPr>
                <w:ilvl w:val="0"/>
                <w:numId w:val="6"/>
              </w:numPr>
              <w:rPr>
                <w:rFonts w:eastAsia="Times"/>
                <w:b/>
                <w:bCs/>
              </w:rPr>
            </w:pPr>
            <w:r w:rsidRPr="007678FC">
              <w:rPr>
                <w:rFonts w:eastAsia="Times"/>
              </w:rPr>
              <w:t>99358 and 99359</w:t>
            </w:r>
          </w:p>
        </w:tc>
      </w:tr>
      <w:tr w:rsidR="00B67ADB" w:rsidRPr="007678FC" w:rsidTr="00310A7D">
        <w:tc>
          <w:tcPr>
            <w:tcW w:w="8460" w:type="dxa"/>
            <w:vAlign w:val="bottom"/>
          </w:tcPr>
          <w:p w:rsidR="00B67ADB" w:rsidRPr="007678FC" w:rsidRDefault="00B67ADB" w:rsidP="00F61CF2">
            <w:pPr>
              <w:rPr>
                <w:b/>
                <w:bCs/>
              </w:rPr>
            </w:pPr>
            <w:r w:rsidRPr="007678FC">
              <w:rPr>
                <w:b/>
                <w:bCs/>
              </w:rPr>
              <w:t>Preventive Medicine Services</w:t>
            </w:r>
          </w:p>
          <w:p w:rsidR="00B67ADB" w:rsidRPr="007678FC" w:rsidRDefault="00B67ADB" w:rsidP="00F46B28">
            <w:pPr>
              <w:numPr>
                <w:ilvl w:val="2"/>
                <w:numId w:val="4"/>
              </w:numPr>
              <w:rPr>
                <w:rFonts w:eastAsia="Times"/>
              </w:rPr>
            </w:pPr>
            <w:r w:rsidRPr="007678FC">
              <w:rPr>
                <w:rFonts w:eastAsia="Times"/>
              </w:rPr>
              <w:t>New Patient:  99381–99387</w:t>
            </w:r>
          </w:p>
          <w:p w:rsidR="00B67ADB" w:rsidRPr="007678FC" w:rsidRDefault="00B67ADB" w:rsidP="00F46B28">
            <w:pPr>
              <w:numPr>
                <w:ilvl w:val="2"/>
                <w:numId w:val="4"/>
              </w:numPr>
              <w:rPr>
                <w:rFonts w:eastAsia="Times"/>
                <w:b/>
                <w:bCs/>
                <w:noProof/>
              </w:rPr>
            </w:pPr>
            <w:r w:rsidRPr="007678FC">
              <w:rPr>
                <w:rFonts w:eastAsia="Times"/>
              </w:rPr>
              <w:t>Established Patient:  99391–99397</w:t>
            </w:r>
          </w:p>
        </w:tc>
      </w:tr>
      <w:tr w:rsidR="00BC7929" w:rsidRPr="007678FC" w:rsidTr="00310A7D">
        <w:tc>
          <w:tcPr>
            <w:tcW w:w="8460" w:type="dxa"/>
            <w:vAlign w:val="bottom"/>
          </w:tcPr>
          <w:p w:rsidR="00BC7929" w:rsidRPr="007678FC" w:rsidRDefault="00BC7929" w:rsidP="00BC7929">
            <w:pPr>
              <w:rPr>
                <w:b/>
                <w:bCs/>
                <w:noProof/>
              </w:rPr>
            </w:pPr>
            <w:r w:rsidRPr="007678FC">
              <w:rPr>
                <w:b/>
                <w:bCs/>
                <w:noProof/>
              </w:rPr>
              <w:lastRenderedPageBreak/>
              <w:t>Medicare Covered Wellness Visits</w:t>
            </w:r>
          </w:p>
          <w:p w:rsidR="00BC7929" w:rsidRPr="007678FC" w:rsidRDefault="00BC7929" w:rsidP="00F46B28">
            <w:pPr>
              <w:numPr>
                <w:ilvl w:val="0"/>
                <w:numId w:val="5"/>
              </w:numPr>
              <w:rPr>
                <w:rFonts w:eastAsia="Times"/>
              </w:rPr>
            </w:pPr>
            <w:r w:rsidRPr="007678FC">
              <w:rPr>
                <w:rFonts w:eastAsia="Times"/>
                <w:b/>
              </w:rPr>
              <w:t>G0402</w:t>
            </w:r>
            <w:r w:rsidRPr="007678FC">
              <w:rPr>
                <w:rFonts w:eastAsia="Times"/>
              </w:rPr>
              <w:t xml:space="preserve"> - Initial Preventive Physical Exam ("Welcome to Medicare" visit)</w:t>
            </w:r>
          </w:p>
          <w:p w:rsidR="00BC7929" w:rsidRPr="007678FC" w:rsidRDefault="00BC7929" w:rsidP="00F46B28">
            <w:pPr>
              <w:numPr>
                <w:ilvl w:val="0"/>
                <w:numId w:val="5"/>
              </w:numPr>
              <w:rPr>
                <w:rFonts w:eastAsia="Times"/>
              </w:rPr>
            </w:pPr>
            <w:r w:rsidRPr="007678FC">
              <w:rPr>
                <w:rFonts w:eastAsia="Times"/>
                <w:b/>
              </w:rPr>
              <w:t>G0438</w:t>
            </w:r>
            <w:r w:rsidRPr="007678FC">
              <w:rPr>
                <w:rFonts w:eastAsia="Times"/>
              </w:rPr>
              <w:t xml:space="preserve"> - Annual wellness visit, first visit</w:t>
            </w:r>
          </w:p>
          <w:p w:rsidR="00BC7929" w:rsidRPr="007678FC" w:rsidRDefault="00BC7929" w:rsidP="00F46B28">
            <w:pPr>
              <w:numPr>
                <w:ilvl w:val="0"/>
                <w:numId w:val="5"/>
              </w:numPr>
              <w:rPr>
                <w:rFonts w:eastAsia="Times"/>
              </w:rPr>
            </w:pPr>
            <w:r w:rsidRPr="007678FC">
              <w:rPr>
                <w:rFonts w:eastAsia="Times"/>
                <w:b/>
              </w:rPr>
              <w:t>G0439</w:t>
            </w:r>
            <w:r w:rsidRPr="007678FC">
              <w:rPr>
                <w:rFonts w:eastAsia="Times"/>
              </w:rPr>
              <w:t xml:space="preserve"> - Annual wellness visit, subsequent visit</w:t>
            </w:r>
          </w:p>
        </w:tc>
      </w:tr>
      <w:tr w:rsidR="00B67ADB" w:rsidRPr="007678FC" w:rsidTr="00310A7D">
        <w:tc>
          <w:tcPr>
            <w:tcW w:w="8460" w:type="dxa"/>
            <w:vAlign w:val="bottom"/>
          </w:tcPr>
          <w:p w:rsidR="00B67ADB" w:rsidRPr="007678FC" w:rsidRDefault="00B67ADB" w:rsidP="00F61CF2">
            <w:pPr>
              <w:rPr>
                <w:b/>
                <w:bCs/>
                <w:noProof/>
              </w:rPr>
            </w:pPr>
            <w:r w:rsidRPr="007678FC">
              <w:rPr>
                <w:b/>
                <w:bCs/>
                <w:noProof/>
              </w:rPr>
              <w:t>Counseling Risk Factor Reduction and Behavior Change Intervention</w:t>
            </w:r>
          </w:p>
          <w:p w:rsidR="00B67ADB" w:rsidRPr="007678FC" w:rsidRDefault="00B67ADB" w:rsidP="00F46B28">
            <w:pPr>
              <w:numPr>
                <w:ilvl w:val="0"/>
                <w:numId w:val="5"/>
              </w:numPr>
              <w:rPr>
                <w:rFonts w:eastAsia="Times"/>
              </w:rPr>
            </w:pPr>
            <w:r w:rsidRPr="007678FC">
              <w:rPr>
                <w:rFonts w:eastAsia="Times"/>
              </w:rPr>
              <w:t>New or Established Patient Preventive Medicine, Individual Counseling:  99401–99404</w:t>
            </w:r>
          </w:p>
          <w:p w:rsidR="00B67ADB" w:rsidRPr="007678FC" w:rsidRDefault="00B67ADB" w:rsidP="00F46B28">
            <w:pPr>
              <w:numPr>
                <w:ilvl w:val="0"/>
                <w:numId w:val="5"/>
              </w:numPr>
              <w:rPr>
                <w:rFonts w:eastAsia="Times"/>
              </w:rPr>
            </w:pPr>
            <w:r w:rsidRPr="007678FC">
              <w:rPr>
                <w:rFonts w:eastAsia="Times"/>
              </w:rPr>
              <w:t>New or Established Patient Behavior Change Interventions, Individual:  99406-99409</w:t>
            </w:r>
          </w:p>
          <w:p w:rsidR="00B67ADB" w:rsidRPr="007678FC" w:rsidRDefault="00B67ADB" w:rsidP="00F46B28">
            <w:pPr>
              <w:numPr>
                <w:ilvl w:val="0"/>
                <w:numId w:val="5"/>
              </w:numPr>
              <w:rPr>
                <w:rFonts w:eastAsia="Times"/>
                <w:b/>
                <w:bCs/>
              </w:rPr>
            </w:pPr>
            <w:r w:rsidRPr="007678FC">
              <w:rPr>
                <w:rFonts w:eastAsia="Times"/>
              </w:rPr>
              <w:t>New or Established Patient Preventive Medicine, Group Counseling:  99411–99412</w:t>
            </w:r>
          </w:p>
        </w:tc>
      </w:tr>
      <w:tr w:rsidR="00B67ADB" w:rsidRPr="007678FC" w:rsidTr="00310A7D">
        <w:trPr>
          <w:trHeight w:val="620"/>
        </w:trPr>
        <w:tc>
          <w:tcPr>
            <w:tcW w:w="8460" w:type="dxa"/>
            <w:vAlign w:val="bottom"/>
          </w:tcPr>
          <w:p w:rsidR="00B67ADB" w:rsidRPr="007678FC" w:rsidRDefault="00B67ADB" w:rsidP="00F61CF2">
            <w:pPr>
              <w:rPr>
                <w:b/>
                <w:bCs/>
              </w:rPr>
            </w:pPr>
            <w:r w:rsidRPr="007678FC">
              <w:rPr>
                <w:b/>
                <w:bCs/>
              </w:rPr>
              <w:t>Other Preventive Medicine Services – Administration and interpretation:</w:t>
            </w:r>
          </w:p>
          <w:p w:rsidR="00B67ADB" w:rsidRPr="007678FC" w:rsidRDefault="00B67ADB" w:rsidP="00F46B28">
            <w:pPr>
              <w:numPr>
                <w:ilvl w:val="0"/>
                <w:numId w:val="8"/>
              </w:numPr>
              <w:spacing w:after="200" w:line="276" w:lineRule="auto"/>
              <w:contextualSpacing/>
              <w:rPr>
                <w:rFonts w:eastAsia="Times"/>
                <w:b/>
                <w:bCs/>
              </w:rPr>
            </w:pPr>
            <w:r w:rsidRPr="007678FC">
              <w:rPr>
                <w:rFonts w:eastAsia="Times"/>
              </w:rPr>
              <w:t>99420</w:t>
            </w:r>
          </w:p>
        </w:tc>
      </w:tr>
      <w:tr w:rsidR="00B67ADB" w:rsidRPr="007678FC" w:rsidTr="00310A7D">
        <w:tc>
          <w:tcPr>
            <w:tcW w:w="8460" w:type="dxa"/>
            <w:vAlign w:val="bottom"/>
          </w:tcPr>
          <w:p w:rsidR="00B67ADB" w:rsidRPr="007678FC" w:rsidRDefault="00B67ADB" w:rsidP="00F61CF2">
            <w:pPr>
              <w:rPr>
                <w:b/>
                <w:bCs/>
              </w:rPr>
            </w:pPr>
            <w:r w:rsidRPr="007678FC">
              <w:rPr>
                <w:b/>
                <w:bCs/>
              </w:rPr>
              <w:t>Other Preventive Medicine Services – Unlisted preventive:</w:t>
            </w:r>
          </w:p>
          <w:p w:rsidR="00B67ADB" w:rsidRPr="007678FC" w:rsidRDefault="00B67ADB" w:rsidP="00F46B28">
            <w:pPr>
              <w:numPr>
                <w:ilvl w:val="0"/>
                <w:numId w:val="8"/>
              </w:numPr>
              <w:spacing w:after="200" w:line="276" w:lineRule="auto"/>
              <w:contextualSpacing/>
              <w:rPr>
                <w:rFonts w:eastAsia="Times"/>
                <w:b/>
                <w:bCs/>
              </w:rPr>
            </w:pPr>
            <w:r w:rsidRPr="007678FC">
              <w:rPr>
                <w:rFonts w:eastAsia="Times"/>
              </w:rPr>
              <w:t>99429</w:t>
            </w:r>
          </w:p>
        </w:tc>
      </w:tr>
      <w:tr w:rsidR="00B67ADB" w:rsidRPr="007678FC" w:rsidTr="00310A7D">
        <w:tc>
          <w:tcPr>
            <w:tcW w:w="8460" w:type="dxa"/>
            <w:vAlign w:val="bottom"/>
          </w:tcPr>
          <w:p w:rsidR="00B67ADB" w:rsidRPr="007678FC" w:rsidRDefault="00B67ADB" w:rsidP="00F61CF2">
            <w:pPr>
              <w:rPr>
                <w:b/>
                <w:bCs/>
              </w:rPr>
            </w:pPr>
            <w:r w:rsidRPr="007678FC">
              <w:rPr>
                <w:b/>
                <w:bCs/>
              </w:rPr>
              <w:t>Federally Qualified Health Center (FQHC) – Global Visit</w:t>
            </w:r>
          </w:p>
          <w:p w:rsidR="00B67ADB" w:rsidRPr="007678FC" w:rsidRDefault="00B67ADB" w:rsidP="00F61CF2">
            <w:pPr>
              <w:rPr>
                <w:b/>
                <w:bCs/>
                <w:i/>
              </w:rPr>
            </w:pPr>
            <w:r w:rsidRPr="007678FC">
              <w:rPr>
                <w:b/>
                <w:bCs/>
                <w:i/>
                <w:u w:val="single"/>
              </w:rPr>
              <w:t>( billed as a revenue code on an institutional claim form</w:t>
            </w:r>
            <w:r w:rsidRPr="007678FC">
              <w:rPr>
                <w:b/>
                <w:bCs/>
                <w:i/>
              </w:rPr>
              <w:t>)</w:t>
            </w:r>
          </w:p>
          <w:p w:rsidR="00B67ADB" w:rsidRPr="007678FC" w:rsidRDefault="00B67ADB" w:rsidP="00F46B28">
            <w:pPr>
              <w:numPr>
                <w:ilvl w:val="0"/>
                <w:numId w:val="8"/>
              </w:numPr>
              <w:tabs>
                <w:tab w:val="left" w:pos="432"/>
              </w:tabs>
              <w:spacing w:after="200" w:line="276" w:lineRule="auto"/>
              <w:contextualSpacing/>
              <w:rPr>
                <w:rFonts w:eastAsia="Times"/>
              </w:rPr>
            </w:pPr>
            <w:r w:rsidRPr="007678FC">
              <w:rPr>
                <w:rFonts w:eastAsia="Times"/>
              </w:rPr>
              <w:t>0521 = Clinic visit by member to RHC/FQHC;</w:t>
            </w:r>
          </w:p>
          <w:p w:rsidR="00B67ADB" w:rsidRPr="007678FC" w:rsidRDefault="00B67ADB" w:rsidP="00F46B28">
            <w:pPr>
              <w:numPr>
                <w:ilvl w:val="0"/>
                <w:numId w:val="8"/>
              </w:numPr>
              <w:spacing w:after="200" w:line="276" w:lineRule="auto"/>
              <w:contextualSpacing/>
              <w:rPr>
                <w:rFonts w:eastAsia="Times"/>
                <w:b/>
                <w:bCs/>
              </w:rPr>
            </w:pPr>
            <w:r w:rsidRPr="007678FC">
              <w:rPr>
                <w:rFonts w:eastAsia="Times"/>
              </w:rPr>
              <w:t>0522 = Home visit by RHC/FQHC practitioner</w:t>
            </w:r>
          </w:p>
        </w:tc>
      </w:tr>
    </w:tbl>
    <w:p w:rsidR="00B67ADB" w:rsidRPr="007678FC" w:rsidRDefault="00B67ADB" w:rsidP="00B67ADB">
      <w:pPr>
        <w:tabs>
          <w:tab w:val="left" w:pos="2250"/>
          <w:tab w:val="left" w:pos="2970"/>
        </w:tabs>
      </w:pPr>
    </w:p>
    <w:p w:rsidR="00B67ADB" w:rsidRPr="007678FC" w:rsidRDefault="00B67ADB" w:rsidP="00F46B28">
      <w:pPr>
        <w:numPr>
          <w:ilvl w:val="0"/>
          <w:numId w:val="12"/>
        </w:numPr>
        <w:tabs>
          <w:tab w:val="left" w:pos="810"/>
        </w:tabs>
        <w:ind w:left="810" w:hanging="450"/>
        <w:contextualSpacing/>
        <w:rPr>
          <w:rFonts w:eastAsia="Times"/>
        </w:rPr>
      </w:pPr>
      <w:r w:rsidRPr="007678FC">
        <w:rPr>
          <w:rFonts w:eastAsia="Times"/>
        </w:rPr>
        <w:t xml:space="preserve">Assign a beneficiary to the practice where s/he had the greatest number of qualifying claims.  A practice shall be identified by the NPIs of the individual providers associated with it. </w:t>
      </w:r>
    </w:p>
    <w:p w:rsidR="00B67ADB" w:rsidRPr="007678FC" w:rsidRDefault="00B67ADB" w:rsidP="00B67ADB">
      <w:pPr>
        <w:tabs>
          <w:tab w:val="left" w:pos="810"/>
        </w:tabs>
        <w:ind w:left="810" w:hanging="450"/>
        <w:rPr>
          <w:rFonts w:eastAsia="Times"/>
        </w:rPr>
      </w:pPr>
    </w:p>
    <w:p w:rsidR="00B67ADB" w:rsidRPr="007678FC" w:rsidRDefault="00B67ADB" w:rsidP="00F46B28">
      <w:pPr>
        <w:numPr>
          <w:ilvl w:val="0"/>
          <w:numId w:val="12"/>
        </w:numPr>
        <w:tabs>
          <w:tab w:val="left" w:pos="810"/>
        </w:tabs>
        <w:ind w:left="810" w:hanging="450"/>
        <w:contextualSpacing/>
        <w:rPr>
          <w:rFonts w:eastAsia="Times"/>
        </w:rPr>
      </w:pPr>
      <w:r w:rsidRPr="007678FC">
        <w:rPr>
          <w:rFonts w:eastAsia="Times"/>
        </w:rPr>
        <w:t xml:space="preserve">If a beneficiary has an equal number of qualifying visits to more than one practice, assign the beneficiary to the one with the most recent visit. </w:t>
      </w:r>
    </w:p>
    <w:p w:rsidR="00B67ADB" w:rsidRPr="007678FC" w:rsidRDefault="00B67ADB" w:rsidP="00B67ADB">
      <w:pPr>
        <w:ind w:left="720"/>
        <w:rPr>
          <w:rFonts w:eastAsia="Times"/>
        </w:rPr>
      </w:pPr>
    </w:p>
    <w:p w:rsidR="00B67ADB" w:rsidRPr="007678FC" w:rsidRDefault="002C1074" w:rsidP="00F46B28">
      <w:pPr>
        <w:numPr>
          <w:ilvl w:val="0"/>
          <w:numId w:val="12"/>
        </w:numPr>
        <w:tabs>
          <w:tab w:val="left" w:pos="810"/>
        </w:tabs>
        <w:ind w:left="810" w:hanging="450"/>
        <w:contextualSpacing/>
        <w:rPr>
          <w:rFonts w:eastAsia="Times"/>
        </w:rPr>
      </w:pPr>
      <w:r w:rsidRPr="007678FC">
        <w:rPr>
          <w:rFonts w:eastAsia="Times"/>
        </w:rPr>
        <w:t>This beneficiary assignment algorithm shall be run every 3 months with reports provided as designated in the CR to various entities within 15 business days of the end of the look back period and applicable to payments starting 30 days after the end of the look back period.</w:t>
      </w:r>
    </w:p>
    <w:p w:rsidR="00B67ADB" w:rsidRPr="007678FC" w:rsidRDefault="00B67ADB" w:rsidP="00B67ADB">
      <w:pPr>
        <w:tabs>
          <w:tab w:val="left" w:pos="810"/>
        </w:tabs>
        <w:contextualSpacing/>
        <w:rPr>
          <w:rFonts w:eastAsia="Times"/>
        </w:rPr>
      </w:pPr>
    </w:p>
    <w:p w:rsidR="00B33EF7" w:rsidRPr="007678FC" w:rsidRDefault="00B33EF7" w:rsidP="00B67ADB">
      <w:pPr>
        <w:rPr>
          <w:b/>
        </w:rPr>
      </w:pPr>
      <w:r w:rsidRPr="007678FC">
        <w:rPr>
          <w:b/>
        </w:rPr>
        <w:br w:type="page"/>
      </w:r>
    </w:p>
    <w:p w:rsidR="00B33EF7" w:rsidRPr="007678FC" w:rsidRDefault="00776E59" w:rsidP="0081028E">
      <w:pPr>
        <w:pStyle w:val="AppendixSubheading"/>
        <w:jc w:val="center"/>
        <w:rPr>
          <w:b/>
        </w:rPr>
      </w:pPr>
      <w:bookmarkStart w:id="148" w:name="_Toc419884347"/>
      <w:bookmarkStart w:id="149" w:name="_Toc440036742"/>
      <w:bookmarkStart w:id="150" w:name="_Toc521488622"/>
      <w:r w:rsidRPr="007678FC">
        <w:rPr>
          <w:b/>
        </w:rPr>
        <w:lastRenderedPageBreak/>
        <w:t xml:space="preserve">APPENDIX </w:t>
      </w:r>
      <w:r w:rsidR="007A6A0B" w:rsidRPr="007678FC">
        <w:rPr>
          <w:b/>
        </w:rPr>
        <w:t>5</w:t>
      </w:r>
      <w:bookmarkEnd w:id="148"/>
      <w:bookmarkEnd w:id="149"/>
      <w:bookmarkEnd w:id="150"/>
    </w:p>
    <w:p w:rsidR="006B1722" w:rsidRPr="007678FC" w:rsidRDefault="006B1722" w:rsidP="006B1722">
      <w:pPr>
        <w:spacing w:before="120" w:after="80"/>
        <w:rPr>
          <w:b/>
        </w:rPr>
      </w:pPr>
    </w:p>
    <w:p w:rsidR="00DA5EFD" w:rsidRPr="007678FC" w:rsidRDefault="00DA5EFD" w:rsidP="00DA5EFD">
      <w:pPr>
        <w:spacing w:before="120" w:after="80"/>
        <w:rPr>
          <w:b/>
        </w:rPr>
      </w:pPr>
      <w:r w:rsidRPr="007678FC">
        <w:rPr>
          <w:b/>
        </w:rPr>
        <w:t>EXAMPLES OF PAYMENT IMPACTS ON:</w:t>
      </w:r>
    </w:p>
    <w:p w:rsidR="00DA5EFD" w:rsidRPr="007678FC" w:rsidRDefault="00DA5EFD" w:rsidP="00DA5EFD">
      <w:pPr>
        <w:spacing w:before="120" w:after="80"/>
        <w:rPr>
          <w:b/>
        </w:rPr>
      </w:pPr>
    </w:p>
    <w:p w:rsidR="00DA5EFD" w:rsidRPr="007678FC" w:rsidRDefault="00DA5EFD" w:rsidP="00DA5EFD">
      <w:pPr>
        <w:spacing w:before="120" w:after="80"/>
        <w:rPr>
          <w:b/>
        </w:rPr>
      </w:pPr>
      <w:r w:rsidRPr="007678FC">
        <w:rPr>
          <w:b/>
        </w:rPr>
        <w:t>1.  CURRENT PRACTICE FOR WHICH NCQA RECOGNITION LAPSES</w:t>
      </w:r>
    </w:p>
    <w:p w:rsidR="00DA5EFD" w:rsidRPr="007678FC" w:rsidRDefault="00DA5EFD" w:rsidP="00DA5EFD">
      <w:pPr>
        <w:spacing w:before="120" w:after="80"/>
        <w:rPr>
          <w:b/>
        </w:rPr>
      </w:pPr>
      <w:r w:rsidRPr="007678FC">
        <w:rPr>
          <w:b/>
        </w:rPr>
        <w:t xml:space="preserve">2.  </w:t>
      </w:r>
      <w:r w:rsidR="006C49D5">
        <w:rPr>
          <w:b/>
        </w:rPr>
        <w:t>BLUEPRINT</w:t>
      </w:r>
      <w:r w:rsidRPr="007678FC">
        <w:rPr>
          <w:b/>
        </w:rPr>
        <w:t xml:space="preserve"> PRACTICE THAT DOES NOT ACHIEVE RECOGNITION</w:t>
      </w:r>
    </w:p>
    <w:p w:rsidR="00DA5EFD" w:rsidRPr="007678FC" w:rsidRDefault="00DA5EFD" w:rsidP="00DA5EFD">
      <w:pPr>
        <w:spacing w:after="200" w:line="276" w:lineRule="auto"/>
        <w:rPr>
          <w:rFonts w:ascii="Calibri" w:eastAsia="Calibri" w:hAnsi="Calibri"/>
        </w:rPr>
      </w:pPr>
    </w:p>
    <w:p w:rsidR="00DA5EFD" w:rsidRPr="007678FC" w:rsidRDefault="00DA5EFD" w:rsidP="00DA5EFD">
      <w:pPr>
        <w:spacing w:after="200" w:line="276" w:lineRule="auto"/>
        <w:rPr>
          <w:rFonts w:ascii="Calibri" w:eastAsia="Calibri" w:hAnsi="Calibri"/>
        </w:rPr>
      </w:pPr>
      <w:r w:rsidRPr="007678FC">
        <w:rPr>
          <w:rFonts w:ascii="Calibri" w:eastAsia="Calibri" w:hAnsi="Calibri"/>
        </w:rPr>
        <w:t xml:space="preserve">The following table outlines relevant time frames for a hypothetical current practice with a </w:t>
      </w:r>
      <w:r w:rsidR="006C49D5">
        <w:rPr>
          <w:rFonts w:ascii="Calibri" w:eastAsia="Calibri" w:hAnsi="Calibri"/>
        </w:rPr>
        <w:t>next anticipated submission date</w:t>
      </w:r>
      <w:r w:rsidR="0006210C" w:rsidRPr="007678FC">
        <w:rPr>
          <w:rFonts w:ascii="Calibri" w:eastAsia="Calibri" w:hAnsi="Calibri"/>
        </w:rPr>
        <w:t xml:space="preserve"> of </w:t>
      </w:r>
      <w:r w:rsidR="006C49D5">
        <w:rPr>
          <w:rFonts w:ascii="Calibri" w:eastAsia="Calibri" w:hAnsi="Calibri"/>
        </w:rPr>
        <w:t>August 28</w:t>
      </w:r>
      <w:r w:rsidR="0006210C" w:rsidRPr="007678FC">
        <w:rPr>
          <w:rFonts w:ascii="Calibri" w:eastAsia="Calibri" w:hAnsi="Calibri"/>
        </w:rPr>
        <w:t>, 2015</w:t>
      </w:r>
      <w:r w:rsidRPr="007678FC">
        <w:rPr>
          <w:rFonts w:ascii="Calibri" w:eastAsia="Calibri" w:hAnsi="Calibri"/>
        </w:rPr>
        <w:t xml:space="preserve"> and an NCQA recognition lapse date of September 28, 201</w:t>
      </w:r>
      <w:r w:rsidR="0006210C" w:rsidRPr="007678FC">
        <w:rPr>
          <w:rFonts w:ascii="Calibri" w:eastAsia="Calibri" w:hAnsi="Calibri"/>
        </w:rPr>
        <w:t>5</w:t>
      </w:r>
      <w:r w:rsidRPr="007678FC">
        <w:rPr>
          <w:rFonts w:ascii="Calibri" w:eastAsia="Calibri" w:hAnsi="Calibri"/>
        </w:rPr>
        <w:t>:</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340"/>
      </w:tblGrid>
      <w:tr w:rsidR="00DA5EFD" w:rsidRPr="007678FC" w:rsidTr="00310A7D">
        <w:tc>
          <w:tcPr>
            <w:tcW w:w="7488" w:type="dxa"/>
            <w:shd w:val="clear" w:color="auto" w:fill="auto"/>
          </w:tcPr>
          <w:p w:rsidR="00DA5EFD" w:rsidRPr="007678FC" w:rsidRDefault="00DA5EFD" w:rsidP="00BA3C61">
            <w:pPr>
              <w:jc w:val="center"/>
              <w:rPr>
                <w:rFonts w:ascii="Calibri" w:eastAsia="Calibri" w:hAnsi="Calibri"/>
                <w:b/>
                <w:sz w:val="22"/>
                <w:szCs w:val="22"/>
              </w:rPr>
            </w:pPr>
            <w:r w:rsidRPr="007678FC">
              <w:rPr>
                <w:rFonts w:ascii="Calibri" w:eastAsia="Calibri" w:hAnsi="Calibri"/>
                <w:b/>
                <w:sz w:val="22"/>
                <w:szCs w:val="22"/>
              </w:rPr>
              <w:t>Event</w:t>
            </w:r>
          </w:p>
        </w:tc>
        <w:tc>
          <w:tcPr>
            <w:tcW w:w="2340" w:type="dxa"/>
            <w:shd w:val="clear" w:color="auto" w:fill="auto"/>
          </w:tcPr>
          <w:p w:rsidR="00DA5EFD" w:rsidRPr="007678FC" w:rsidRDefault="00DA5EFD" w:rsidP="00BA3C61">
            <w:pPr>
              <w:jc w:val="center"/>
              <w:rPr>
                <w:rFonts w:ascii="Calibri" w:eastAsia="Calibri" w:hAnsi="Calibri"/>
                <w:b/>
                <w:sz w:val="22"/>
                <w:szCs w:val="22"/>
              </w:rPr>
            </w:pPr>
            <w:r w:rsidRPr="007678FC">
              <w:rPr>
                <w:rFonts w:ascii="Calibri" w:eastAsia="Calibri" w:hAnsi="Calibri"/>
                <w:b/>
                <w:sz w:val="22"/>
                <w:szCs w:val="22"/>
              </w:rPr>
              <w:t>Date</w:t>
            </w:r>
          </w:p>
        </w:tc>
      </w:tr>
      <w:tr w:rsidR="00DA5EFD" w:rsidRPr="007678FC" w:rsidTr="00310A7D">
        <w:tc>
          <w:tcPr>
            <w:tcW w:w="7488" w:type="dxa"/>
            <w:shd w:val="clear" w:color="auto" w:fill="auto"/>
          </w:tcPr>
          <w:p w:rsidR="00DA5EFD" w:rsidRPr="007678FC" w:rsidRDefault="004B5366" w:rsidP="00565E05">
            <w:pPr>
              <w:rPr>
                <w:rFonts w:ascii="Calibri" w:eastAsia="Calibri" w:hAnsi="Calibri"/>
                <w:sz w:val="22"/>
                <w:szCs w:val="22"/>
              </w:rPr>
            </w:pPr>
            <w:r>
              <w:rPr>
                <w:rFonts w:ascii="Calibri" w:eastAsia="Calibri" w:hAnsi="Calibri"/>
                <w:sz w:val="22"/>
                <w:szCs w:val="22"/>
              </w:rPr>
              <w:t>D</w:t>
            </w:r>
            <w:r w:rsidR="00DA5EFD" w:rsidRPr="007678FC">
              <w:rPr>
                <w:rFonts w:ascii="Calibri" w:eastAsia="Calibri" w:hAnsi="Calibri"/>
                <w:sz w:val="22"/>
                <w:szCs w:val="22"/>
              </w:rPr>
              <w:t>ate on which practice decides to postpone scoring date</w:t>
            </w:r>
            <w:r>
              <w:rPr>
                <w:rFonts w:ascii="Calibri" w:eastAsia="Calibri" w:hAnsi="Calibri"/>
                <w:sz w:val="22"/>
                <w:szCs w:val="22"/>
              </w:rPr>
              <w:t xml:space="preserve"> / next anticipated submission date.</w:t>
            </w:r>
          </w:p>
        </w:tc>
        <w:tc>
          <w:tcPr>
            <w:tcW w:w="2340" w:type="dxa"/>
            <w:shd w:val="clear" w:color="auto" w:fill="auto"/>
          </w:tcPr>
          <w:p w:rsidR="00DA5EFD" w:rsidRPr="007678FC" w:rsidRDefault="004B5366" w:rsidP="00BA3C61">
            <w:pPr>
              <w:rPr>
                <w:rFonts w:ascii="Calibri" w:eastAsia="Calibri" w:hAnsi="Calibri"/>
                <w:sz w:val="22"/>
                <w:szCs w:val="22"/>
              </w:rPr>
            </w:pPr>
            <w:r>
              <w:rPr>
                <w:rFonts w:ascii="Calibri" w:eastAsia="Calibri" w:hAnsi="Calibri"/>
                <w:sz w:val="22"/>
                <w:szCs w:val="22"/>
              </w:rPr>
              <w:t>August 28</w:t>
            </w:r>
            <w:r w:rsidR="00DA5EFD" w:rsidRPr="007678FC">
              <w:rPr>
                <w:rFonts w:ascii="Calibri" w:eastAsia="Calibri" w:hAnsi="Calibri"/>
                <w:sz w:val="22"/>
                <w:szCs w:val="22"/>
              </w:rPr>
              <w:t>, 2015</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NCQA recognition lapse date</w:t>
            </w:r>
            <w:r w:rsidR="00231593" w:rsidRPr="007678FC">
              <w:rPr>
                <w:rFonts w:ascii="Calibri" w:eastAsia="Calibri" w:hAnsi="Calibri"/>
                <w:sz w:val="22"/>
                <w:szCs w:val="22"/>
              </w:rPr>
              <w:t>.</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September 28, 2015</w:t>
            </w:r>
          </w:p>
        </w:tc>
      </w:tr>
      <w:tr w:rsidR="00DA5EFD" w:rsidRPr="007678FC" w:rsidTr="00310A7D">
        <w:tc>
          <w:tcPr>
            <w:tcW w:w="7488" w:type="dxa"/>
            <w:shd w:val="clear" w:color="auto" w:fill="auto"/>
          </w:tcPr>
          <w:p w:rsidR="00DA5EFD" w:rsidRPr="007678FC" w:rsidRDefault="00231593" w:rsidP="009A39AA">
            <w:pPr>
              <w:rPr>
                <w:rFonts w:ascii="Calibri" w:eastAsia="Calibri" w:hAnsi="Calibri"/>
                <w:sz w:val="22"/>
                <w:szCs w:val="22"/>
              </w:rPr>
            </w:pPr>
            <w:r w:rsidRPr="007678FC">
              <w:rPr>
                <w:rFonts w:ascii="Calibri" w:eastAsia="Calibri" w:hAnsi="Calibri"/>
                <w:sz w:val="22"/>
                <w:szCs w:val="22"/>
              </w:rPr>
              <w:t xml:space="preserve">Action Plan due date, indicating revised </w:t>
            </w:r>
            <w:r w:rsidR="004B5366">
              <w:rPr>
                <w:rFonts w:ascii="Calibri" w:eastAsia="Calibri" w:hAnsi="Calibri"/>
                <w:sz w:val="22"/>
                <w:szCs w:val="22"/>
              </w:rPr>
              <w:t>next anticipated submission date</w:t>
            </w:r>
            <w:r w:rsidRPr="007678FC">
              <w:rPr>
                <w:rFonts w:ascii="Calibri" w:eastAsia="Calibri" w:hAnsi="Calibri"/>
                <w:sz w:val="22"/>
                <w:szCs w:val="22"/>
              </w:rPr>
              <w:t>.  Score date must be before by December 31, 2016 if payments are to continue in full.</w:t>
            </w:r>
            <w:r w:rsidR="00DA5EFD" w:rsidRPr="007678FC">
              <w:rPr>
                <w:rFonts w:ascii="Calibri" w:eastAsia="Calibri" w:hAnsi="Calibri"/>
                <w:sz w:val="22"/>
                <w:szCs w:val="22"/>
              </w:rPr>
              <w:t xml:space="preserve"> </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September 30, 2015</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Payment termination date if no action plan developed.</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December 31, 2015</w:t>
            </w:r>
          </w:p>
        </w:tc>
      </w:tr>
      <w:tr w:rsidR="00DA5EFD" w:rsidRPr="007678FC" w:rsidTr="00310A7D">
        <w:tc>
          <w:tcPr>
            <w:tcW w:w="7488" w:type="dxa"/>
            <w:shd w:val="clear" w:color="auto" w:fill="auto"/>
          </w:tcPr>
          <w:p w:rsidR="00DA5EFD" w:rsidRPr="007678FC" w:rsidRDefault="000203B3">
            <w:pPr>
              <w:rPr>
                <w:rFonts w:ascii="Calibri" w:eastAsia="Calibri" w:hAnsi="Calibri"/>
                <w:sz w:val="22"/>
                <w:szCs w:val="22"/>
              </w:rPr>
            </w:pPr>
            <w:r>
              <w:rPr>
                <w:rFonts w:ascii="Calibri" w:eastAsia="Calibri" w:hAnsi="Calibri"/>
                <w:sz w:val="22"/>
                <w:szCs w:val="22"/>
              </w:rPr>
              <w:t>P</w:t>
            </w:r>
            <w:r w:rsidR="00DA5EFD" w:rsidRPr="007678FC">
              <w:rPr>
                <w:rFonts w:ascii="Calibri" w:eastAsia="Calibri" w:hAnsi="Calibri"/>
                <w:sz w:val="22"/>
                <w:szCs w:val="22"/>
              </w:rPr>
              <w:t xml:space="preserve">ractice </w:t>
            </w:r>
            <w:r>
              <w:rPr>
                <w:rFonts w:ascii="Calibri" w:eastAsia="Calibri" w:hAnsi="Calibri"/>
                <w:sz w:val="22"/>
                <w:szCs w:val="22"/>
              </w:rPr>
              <w:t>attests to making quarter 1 progress toward NCQA recognition as defined in section 5.3.1</w:t>
            </w:r>
            <w:r w:rsidR="00DA5EFD" w:rsidRPr="007678FC">
              <w:rPr>
                <w:rFonts w:ascii="Calibri" w:eastAsia="Calibri" w:hAnsi="Calibri"/>
                <w:sz w:val="22"/>
                <w:szCs w:val="22"/>
              </w:rPr>
              <w:t>.</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January-March 2016</w:t>
            </w:r>
          </w:p>
        </w:tc>
      </w:tr>
      <w:tr w:rsidR="00DA5EFD" w:rsidRPr="007678FC" w:rsidTr="00310A7D">
        <w:trPr>
          <w:trHeight w:val="467"/>
        </w:trPr>
        <w:tc>
          <w:tcPr>
            <w:tcW w:w="7488" w:type="dxa"/>
            <w:shd w:val="clear" w:color="auto" w:fill="auto"/>
          </w:tcPr>
          <w:p w:rsidR="00DA5EFD" w:rsidRPr="007678FC" w:rsidRDefault="00DA5EFD" w:rsidP="00033BCB">
            <w:pPr>
              <w:rPr>
                <w:rFonts w:ascii="Calibri" w:eastAsia="Calibri" w:hAnsi="Calibri"/>
                <w:sz w:val="22"/>
                <w:szCs w:val="22"/>
              </w:rPr>
            </w:pPr>
            <w:r w:rsidRPr="007678FC">
              <w:rPr>
                <w:rFonts w:ascii="Calibri" w:eastAsia="Calibri" w:hAnsi="Calibri"/>
                <w:sz w:val="22"/>
                <w:szCs w:val="22"/>
              </w:rPr>
              <w:t xml:space="preserve">Date CHT and </w:t>
            </w:r>
            <w:r w:rsidR="001640CE" w:rsidRPr="007678FC">
              <w:rPr>
                <w:rFonts w:ascii="Calibri" w:eastAsia="Calibri" w:hAnsi="Calibri"/>
                <w:sz w:val="22"/>
                <w:szCs w:val="22"/>
              </w:rPr>
              <w:t xml:space="preserve">PCMH </w:t>
            </w:r>
            <w:r w:rsidRPr="007678FC">
              <w:rPr>
                <w:rFonts w:ascii="Calibri" w:eastAsia="Calibri" w:hAnsi="Calibri"/>
                <w:sz w:val="22"/>
                <w:szCs w:val="22"/>
              </w:rPr>
              <w:t>PPPM end if practice has not demonstrate</w:t>
            </w:r>
            <w:r w:rsidR="00033BCB" w:rsidRPr="007678FC">
              <w:rPr>
                <w:rFonts w:ascii="Calibri" w:eastAsia="Calibri" w:hAnsi="Calibri"/>
                <w:sz w:val="22"/>
                <w:szCs w:val="22"/>
              </w:rPr>
              <w:t>d</w:t>
            </w:r>
            <w:r w:rsidRPr="007678FC">
              <w:rPr>
                <w:rFonts w:ascii="Calibri" w:eastAsia="Calibri" w:hAnsi="Calibri"/>
                <w:sz w:val="22"/>
                <w:szCs w:val="22"/>
              </w:rPr>
              <w:t xml:space="preserve"> progress toward NCQA PCMH recognition.</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March 31, 2016</w:t>
            </w:r>
          </w:p>
        </w:tc>
      </w:tr>
      <w:tr w:rsidR="00DA5EFD" w:rsidRPr="007678FC" w:rsidTr="00310A7D">
        <w:tc>
          <w:tcPr>
            <w:tcW w:w="7488" w:type="dxa"/>
            <w:shd w:val="clear" w:color="auto" w:fill="auto"/>
          </w:tcPr>
          <w:p w:rsidR="00DA5EFD" w:rsidRPr="007678FC" w:rsidRDefault="00033BCB">
            <w:pPr>
              <w:rPr>
                <w:rFonts w:ascii="Calibri" w:eastAsia="Calibri" w:hAnsi="Calibri"/>
                <w:sz w:val="22"/>
                <w:szCs w:val="22"/>
              </w:rPr>
            </w:pPr>
            <w:r w:rsidRPr="007678FC">
              <w:rPr>
                <w:rFonts w:ascii="Calibri" w:eastAsia="Calibri" w:hAnsi="Calibri"/>
                <w:sz w:val="22"/>
                <w:szCs w:val="22"/>
              </w:rPr>
              <w:t>3</w:t>
            </w:r>
            <w:r w:rsidRPr="007678FC">
              <w:rPr>
                <w:rFonts w:ascii="Calibri" w:eastAsia="Calibri" w:hAnsi="Calibri"/>
                <w:sz w:val="22"/>
                <w:szCs w:val="22"/>
                <w:vertAlign w:val="superscript"/>
              </w:rPr>
              <w:t>rd</w:t>
            </w:r>
            <w:r w:rsidRPr="007678FC">
              <w:rPr>
                <w:rFonts w:ascii="Calibri" w:eastAsia="Calibri" w:hAnsi="Calibri"/>
                <w:sz w:val="22"/>
                <w:szCs w:val="22"/>
              </w:rPr>
              <w:t xml:space="preserve">-quarter </w:t>
            </w:r>
            <w:r w:rsidR="000203B3">
              <w:rPr>
                <w:rFonts w:ascii="Calibri" w:eastAsia="Calibri" w:hAnsi="Calibri"/>
                <w:sz w:val="22"/>
                <w:szCs w:val="22"/>
              </w:rPr>
              <w:t>practice atte</w:t>
            </w:r>
            <w:r w:rsidR="009B75E1">
              <w:rPr>
                <w:rFonts w:ascii="Calibri" w:eastAsia="Calibri" w:hAnsi="Calibri"/>
                <w:sz w:val="22"/>
                <w:szCs w:val="22"/>
              </w:rPr>
              <w:t>sts to quarter 3 progress as def</w:t>
            </w:r>
            <w:r w:rsidR="000203B3">
              <w:rPr>
                <w:rFonts w:ascii="Calibri" w:eastAsia="Calibri" w:hAnsi="Calibri"/>
                <w:sz w:val="22"/>
                <w:szCs w:val="22"/>
              </w:rPr>
              <w:t>ined in section 5.3.1.</w:t>
            </w:r>
            <w:r w:rsidR="001640CE" w:rsidRPr="007678FC">
              <w:rPr>
                <w:rFonts w:ascii="Calibri" w:eastAsia="Calibri" w:hAnsi="Calibri"/>
                <w:sz w:val="22"/>
                <w:szCs w:val="22"/>
              </w:rPr>
              <w:t xml:space="preserve">       </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July-September 2016</w:t>
            </w:r>
          </w:p>
        </w:tc>
      </w:tr>
      <w:tr w:rsidR="00DA5EFD" w:rsidRPr="007678FC" w:rsidTr="00310A7D">
        <w:tc>
          <w:tcPr>
            <w:tcW w:w="7488" w:type="dxa"/>
            <w:shd w:val="clear" w:color="auto" w:fill="auto"/>
          </w:tcPr>
          <w:p w:rsidR="00DA5EFD" w:rsidRPr="007678FC" w:rsidRDefault="009A39AA" w:rsidP="00DB12F9">
            <w:pPr>
              <w:rPr>
                <w:rFonts w:ascii="Calibri" w:eastAsia="Calibri" w:hAnsi="Calibri"/>
                <w:sz w:val="22"/>
                <w:szCs w:val="22"/>
              </w:rPr>
            </w:pPr>
            <w:r w:rsidRPr="007678FC">
              <w:rPr>
                <w:rFonts w:ascii="Calibri" w:eastAsia="Calibri" w:hAnsi="Calibri"/>
                <w:sz w:val="22"/>
                <w:szCs w:val="22"/>
              </w:rPr>
              <w:t>Date CHT and PCMH PPPM end if practice has not demonstrated progress toward NCQA PCMH recognition.</w:t>
            </w:r>
            <w:r w:rsidR="00033BCB" w:rsidRPr="007678FC">
              <w:rPr>
                <w:rFonts w:ascii="Calibri" w:eastAsia="Calibri" w:hAnsi="Calibri"/>
                <w:sz w:val="22"/>
                <w:szCs w:val="22"/>
              </w:rPr>
              <w:t xml:space="preserve">  </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September 30, 2016</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 xml:space="preserve">Date CHT and </w:t>
            </w:r>
            <w:r w:rsidR="001640CE" w:rsidRPr="007678FC">
              <w:rPr>
                <w:rFonts w:ascii="Calibri" w:eastAsia="Calibri" w:hAnsi="Calibri"/>
                <w:sz w:val="22"/>
                <w:szCs w:val="22"/>
              </w:rPr>
              <w:t xml:space="preserve">PCMH </w:t>
            </w:r>
            <w:r w:rsidRPr="007678FC">
              <w:rPr>
                <w:rFonts w:ascii="Calibri" w:eastAsia="Calibri" w:hAnsi="Calibri"/>
                <w:sz w:val="22"/>
                <w:szCs w:val="22"/>
              </w:rPr>
              <w:t>PPPM end if NCQA PCMH recognition is not achieved.</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December 31, 2016</w:t>
            </w:r>
          </w:p>
        </w:tc>
      </w:tr>
    </w:tbl>
    <w:p w:rsidR="00DA5EFD" w:rsidRPr="007678FC" w:rsidRDefault="00DA5EFD" w:rsidP="00DA5EFD">
      <w:pPr>
        <w:spacing w:after="200" w:line="276" w:lineRule="auto"/>
        <w:rPr>
          <w:rFonts w:ascii="Calibri" w:eastAsia="Calibri" w:hAnsi="Calibri"/>
        </w:rPr>
      </w:pPr>
    </w:p>
    <w:p w:rsidR="00DA5EFD" w:rsidRPr="007678FC" w:rsidRDefault="00DA5EFD" w:rsidP="00DA5EFD">
      <w:pPr>
        <w:rPr>
          <w:rFonts w:ascii="Calibri" w:eastAsia="Calibri" w:hAnsi="Calibri"/>
        </w:rPr>
      </w:pPr>
      <w:r w:rsidRPr="007678FC">
        <w:rPr>
          <w:rFonts w:ascii="Calibri" w:eastAsia="Calibri" w:hAnsi="Calibri"/>
        </w:rPr>
        <w:br w:type="page"/>
      </w:r>
    </w:p>
    <w:p w:rsidR="00DA5EFD" w:rsidRPr="007678FC" w:rsidRDefault="00DA5EFD" w:rsidP="00DA5EFD">
      <w:pPr>
        <w:spacing w:after="200" w:line="276" w:lineRule="auto"/>
        <w:rPr>
          <w:rFonts w:ascii="Calibri" w:eastAsia="Calibri" w:hAnsi="Calibri"/>
        </w:rPr>
      </w:pPr>
    </w:p>
    <w:p w:rsidR="00DA5EFD" w:rsidRPr="007678FC" w:rsidRDefault="00DA5EFD" w:rsidP="00DA5EFD">
      <w:pPr>
        <w:spacing w:after="200" w:line="276" w:lineRule="auto"/>
        <w:rPr>
          <w:rFonts w:ascii="Calibri" w:eastAsia="Calibri" w:hAnsi="Calibri"/>
        </w:rPr>
      </w:pPr>
      <w:r w:rsidRPr="007678FC">
        <w:rPr>
          <w:rFonts w:ascii="Calibri" w:eastAsia="Calibri" w:hAnsi="Calibri"/>
        </w:rPr>
        <w:t xml:space="preserve">The following table outlines relevant time frames for a hypothetical </w:t>
      </w:r>
      <w:r w:rsidR="004B5366">
        <w:rPr>
          <w:rFonts w:ascii="Calibri" w:eastAsia="Calibri" w:hAnsi="Calibri"/>
        </w:rPr>
        <w:t>Blueprint</w:t>
      </w:r>
      <w:r w:rsidRPr="007678FC">
        <w:rPr>
          <w:rFonts w:ascii="Calibri" w:eastAsia="Calibri" w:hAnsi="Calibri"/>
        </w:rPr>
        <w:t xml:space="preserve"> practice with an origina</w:t>
      </w:r>
      <w:r w:rsidR="00033BCB" w:rsidRPr="007678FC">
        <w:rPr>
          <w:rFonts w:ascii="Calibri" w:eastAsia="Calibri" w:hAnsi="Calibri"/>
        </w:rPr>
        <w:t xml:space="preserve">l </w:t>
      </w:r>
      <w:r w:rsidR="004B5366">
        <w:rPr>
          <w:rFonts w:ascii="Calibri" w:eastAsia="Calibri" w:hAnsi="Calibri"/>
        </w:rPr>
        <w:t>next anticipated score</w:t>
      </w:r>
      <w:r w:rsidR="00033BCB" w:rsidRPr="007678FC">
        <w:rPr>
          <w:rFonts w:ascii="Calibri" w:eastAsia="Calibri" w:hAnsi="Calibri"/>
        </w:rPr>
        <w:t xml:space="preserve"> date of December 1, 2015</w:t>
      </w:r>
      <w:r w:rsidRPr="007678FC">
        <w:rPr>
          <w:rFonts w:ascii="Calibri" w:eastAsia="Calibri" w:hAnsi="Calibri"/>
        </w:rPr>
        <w:t xml:space="preserve"> (assume that practice postpones scoring):</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340"/>
      </w:tblGrid>
      <w:tr w:rsidR="00DA5EFD" w:rsidRPr="007678FC" w:rsidTr="00310A7D">
        <w:tc>
          <w:tcPr>
            <w:tcW w:w="7488" w:type="dxa"/>
            <w:shd w:val="clear" w:color="auto" w:fill="auto"/>
          </w:tcPr>
          <w:p w:rsidR="00DA5EFD" w:rsidRPr="007678FC" w:rsidRDefault="00DA5EFD" w:rsidP="00BA3C61">
            <w:pPr>
              <w:jc w:val="center"/>
              <w:rPr>
                <w:rFonts w:ascii="Calibri" w:eastAsia="Calibri" w:hAnsi="Calibri"/>
                <w:b/>
                <w:sz w:val="22"/>
                <w:szCs w:val="22"/>
              </w:rPr>
            </w:pPr>
            <w:r w:rsidRPr="007678FC">
              <w:rPr>
                <w:rFonts w:ascii="Calibri" w:eastAsia="Calibri" w:hAnsi="Calibri"/>
                <w:b/>
                <w:sz w:val="22"/>
                <w:szCs w:val="22"/>
              </w:rPr>
              <w:t>Event</w:t>
            </w:r>
          </w:p>
        </w:tc>
        <w:tc>
          <w:tcPr>
            <w:tcW w:w="2340" w:type="dxa"/>
            <w:shd w:val="clear" w:color="auto" w:fill="auto"/>
          </w:tcPr>
          <w:p w:rsidR="00DA5EFD" w:rsidRPr="007678FC" w:rsidRDefault="00DA5EFD" w:rsidP="00BA3C61">
            <w:pPr>
              <w:jc w:val="center"/>
              <w:rPr>
                <w:rFonts w:ascii="Calibri" w:eastAsia="Calibri" w:hAnsi="Calibri"/>
                <w:b/>
                <w:sz w:val="22"/>
                <w:szCs w:val="22"/>
              </w:rPr>
            </w:pPr>
            <w:r w:rsidRPr="007678FC">
              <w:rPr>
                <w:rFonts w:ascii="Calibri" w:eastAsia="Calibri" w:hAnsi="Calibri"/>
                <w:b/>
                <w:sz w:val="22"/>
                <w:szCs w:val="22"/>
              </w:rPr>
              <w:t>Date</w:t>
            </w:r>
          </w:p>
        </w:tc>
      </w:tr>
      <w:tr w:rsidR="00DA5EFD" w:rsidRPr="007678FC" w:rsidTr="00310A7D">
        <w:tc>
          <w:tcPr>
            <w:tcW w:w="7488" w:type="dxa"/>
            <w:shd w:val="clear" w:color="auto" w:fill="auto"/>
          </w:tcPr>
          <w:p w:rsidR="00DA5EFD" w:rsidRPr="007678FC" w:rsidRDefault="004B5366" w:rsidP="00BA3C61">
            <w:pPr>
              <w:rPr>
                <w:rFonts w:ascii="Calibri" w:eastAsia="Calibri" w:hAnsi="Calibri"/>
                <w:sz w:val="22"/>
                <w:szCs w:val="22"/>
              </w:rPr>
            </w:pPr>
            <w:r>
              <w:rPr>
                <w:rFonts w:ascii="Calibri" w:eastAsia="Calibri" w:hAnsi="Calibri"/>
                <w:sz w:val="22"/>
                <w:szCs w:val="22"/>
              </w:rPr>
              <w:t>Engagement date: CHT and PCMH PPPM payments begin</w:t>
            </w:r>
          </w:p>
        </w:tc>
        <w:tc>
          <w:tcPr>
            <w:tcW w:w="2340" w:type="dxa"/>
            <w:shd w:val="clear" w:color="auto" w:fill="auto"/>
          </w:tcPr>
          <w:p w:rsidR="00DA5EFD" w:rsidRPr="007678FC" w:rsidRDefault="004B5366" w:rsidP="00BA3C61">
            <w:pPr>
              <w:rPr>
                <w:rFonts w:ascii="Calibri" w:eastAsia="Calibri" w:hAnsi="Calibri"/>
                <w:sz w:val="22"/>
                <w:szCs w:val="22"/>
              </w:rPr>
            </w:pPr>
            <w:r>
              <w:rPr>
                <w:rFonts w:ascii="Calibri" w:eastAsia="Calibri" w:hAnsi="Calibri"/>
                <w:sz w:val="22"/>
                <w:szCs w:val="22"/>
              </w:rPr>
              <w:t>December 1, 2014</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Original score date; pract</w:t>
            </w:r>
            <w:r w:rsidR="00033BCB" w:rsidRPr="007678FC">
              <w:rPr>
                <w:rFonts w:ascii="Calibri" w:eastAsia="Calibri" w:hAnsi="Calibri"/>
                <w:sz w:val="22"/>
                <w:szCs w:val="22"/>
              </w:rPr>
              <w:t>ice decides on November 30, 2015</w:t>
            </w:r>
            <w:r w:rsidRPr="007678FC">
              <w:rPr>
                <w:rFonts w:ascii="Calibri" w:eastAsia="Calibri" w:hAnsi="Calibri"/>
                <w:sz w:val="22"/>
                <w:szCs w:val="22"/>
              </w:rPr>
              <w:t xml:space="preserve"> to postpone scoring </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December 1, 2015</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Action Plan due date if advance CHT payments are to continue (15 days after decision to postpone scoring date)</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December 15, 2015</w:t>
            </w:r>
          </w:p>
        </w:tc>
      </w:tr>
      <w:tr w:rsidR="004B5366" w:rsidRPr="007678FC" w:rsidTr="00310A7D">
        <w:tc>
          <w:tcPr>
            <w:tcW w:w="7488" w:type="dxa"/>
            <w:shd w:val="clear" w:color="auto" w:fill="auto"/>
          </w:tcPr>
          <w:p w:rsidR="004B5366" w:rsidRPr="007678FC" w:rsidRDefault="004B5366" w:rsidP="00BA3C61">
            <w:pPr>
              <w:rPr>
                <w:rFonts w:ascii="Calibri" w:eastAsia="Calibri" w:hAnsi="Calibri"/>
                <w:sz w:val="22"/>
                <w:szCs w:val="22"/>
              </w:rPr>
            </w:pPr>
            <w:r>
              <w:rPr>
                <w:rFonts w:ascii="Calibri" w:eastAsia="Calibri" w:hAnsi="Calibri"/>
                <w:sz w:val="22"/>
                <w:szCs w:val="22"/>
              </w:rPr>
              <w:t>PCMH PPPM payment termination date regardless of whether an action plan is developed</w:t>
            </w:r>
          </w:p>
        </w:tc>
        <w:tc>
          <w:tcPr>
            <w:tcW w:w="2340" w:type="dxa"/>
            <w:shd w:val="clear" w:color="auto" w:fill="auto"/>
          </w:tcPr>
          <w:p w:rsidR="004B5366" w:rsidRPr="007678FC" w:rsidRDefault="004B5366" w:rsidP="00BA3C61">
            <w:pPr>
              <w:rPr>
                <w:rFonts w:ascii="Calibri" w:eastAsia="Calibri" w:hAnsi="Calibri"/>
                <w:sz w:val="22"/>
                <w:szCs w:val="22"/>
              </w:rPr>
            </w:pPr>
            <w:r>
              <w:rPr>
                <w:rFonts w:ascii="Calibri" w:eastAsia="Calibri" w:hAnsi="Calibri"/>
                <w:sz w:val="22"/>
                <w:szCs w:val="22"/>
              </w:rPr>
              <w:t>December 31, 2015</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Practice-related CHT payment termination date if no action plan developed (last day of quarter during which action plan is due)</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December 31, 2015</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Quarter in which practice-related CHT payment is reduced by 25% if recognition not achieved and action plan is developed (first quarter after action plan is due)</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January-March 2016</w:t>
            </w: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Quarter in which practice-related CHT payment is reduced by 50% if recognition not achieved and action plan is developed (second quarter after action plan is due)</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April-June 2016</w:t>
            </w:r>
          </w:p>
          <w:p w:rsidR="00DA5EFD" w:rsidRPr="007678FC" w:rsidRDefault="00DA5EFD" w:rsidP="00BA3C61">
            <w:pPr>
              <w:rPr>
                <w:rFonts w:ascii="Calibri" w:eastAsia="Calibri" w:hAnsi="Calibri"/>
                <w:sz w:val="22"/>
                <w:szCs w:val="22"/>
              </w:rPr>
            </w:pPr>
          </w:p>
          <w:p w:rsidR="00DA5EFD" w:rsidRPr="007678FC" w:rsidRDefault="00DA5EFD" w:rsidP="00BA3C61">
            <w:pPr>
              <w:rPr>
                <w:rFonts w:ascii="Calibri" w:eastAsia="Calibri" w:hAnsi="Calibri"/>
                <w:sz w:val="22"/>
                <w:szCs w:val="22"/>
              </w:rPr>
            </w:pPr>
          </w:p>
        </w:tc>
      </w:tr>
      <w:tr w:rsidR="00DA5EFD" w:rsidRPr="007678FC"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Quarter in which practice-related CHT payment is reduced by 75% if recognition not achieved and action plan is developed (third quarter after action plan is due)</w:t>
            </w:r>
          </w:p>
        </w:tc>
        <w:tc>
          <w:tcPr>
            <w:tcW w:w="2340"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July-September 2016</w:t>
            </w:r>
          </w:p>
        </w:tc>
      </w:tr>
      <w:tr w:rsidR="00DA5EFD" w:rsidRPr="0017702E" w:rsidTr="00310A7D">
        <w:tc>
          <w:tcPr>
            <w:tcW w:w="7488" w:type="dxa"/>
            <w:shd w:val="clear" w:color="auto" w:fill="auto"/>
          </w:tcPr>
          <w:p w:rsidR="00DA5EFD" w:rsidRPr="007678FC" w:rsidRDefault="00DA5EFD" w:rsidP="00BA3C61">
            <w:pPr>
              <w:rPr>
                <w:rFonts w:ascii="Calibri" w:eastAsia="Calibri" w:hAnsi="Calibri"/>
                <w:sz w:val="22"/>
                <w:szCs w:val="22"/>
              </w:rPr>
            </w:pPr>
            <w:r w:rsidRPr="007678FC">
              <w:rPr>
                <w:rFonts w:ascii="Calibri" w:eastAsia="Calibri" w:hAnsi="Calibri"/>
                <w:sz w:val="22"/>
                <w:szCs w:val="22"/>
              </w:rPr>
              <w:t>Quarter in which practice-related CHT payment is reduced by 100% if recognition not achieved and action plan is developed (fourth quarter after action plan is due)</w:t>
            </w:r>
          </w:p>
        </w:tc>
        <w:tc>
          <w:tcPr>
            <w:tcW w:w="2340" w:type="dxa"/>
            <w:shd w:val="clear" w:color="auto" w:fill="auto"/>
          </w:tcPr>
          <w:p w:rsidR="00DA5EFD" w:rsidRPr="006050B0" w:rsidRDefault="00DA5EFD" w:rsidP="00BA3C61">
            <w:pPr>
              <w:rPr>
                <w:rFonts w:ascii="Calibri" w:eastAsia="Calibri" w:hAnsi="Calibri"/>
                <w:sz w:val="22"/>
                <w:szCs w:val="22"/>
              </w:rPr>
            </w:pPr>
            <w:r w:rsidRPr="007678FC">
              <w:rPr>
                <w:rFonts w:ascii="Calibri" w:eastAsia="Calibri" w:hAnsi="Calibri"/>
                <w:sz w:val="22"/>
                <w:szCs w:val="22"/>
              </w:rPr>
              <w:t>October-December 2016</w:t>
            </w:r>
          </w:p>
        </w:tc>
      </w:tr>
    </w:tbl>
    <w:p w:rsidR="00DA5EFD" w:rsidRPr="00D92AA6" w:rsidRDefault="00DA5EFD" w:rsidP="00DA5EFD">
      <w:pPr>
        <w:jc w:val="center"/>
        <w:rPr>
          <w:rFonts w:cs="Arial"/>
        </w:rPr>
      </w:pPr>
    </w:p>
    <w:p w:rsidR="00FB6A6F" w:rsidRDefault="00FB6A6F">
      <w:pPr>
        <w:rPr>
          <w:b/>
        </w:rPr>
      </w:pPr>
      <w:r>
        <w:rPr>
          <w:b/>
        </w:rPr>
        <w:br w:type="page"/>
      </w:r>
    </w:p>
    <w:p w:rsidR="00C719C8" w:rsidRPr="001E255F" w:rsidRDefault="00C719C8" w:rsidP="00C719C8">
      <w:pPr>
        <w:pStyle w:val="AppendixSubheading"/>
        <w:jc w:val="center"/>
        <w:rPr>
          <w:rFonts w:asciiTheme="majorHAnsi" w:hAnsiTheme="majorHAnsi"/>
          <w:b/>
        </w:rPr>
      </w:pPr>
      <w:bookmarkStart w:id="151" w:name="_Toc521488623"/>
      <w:r w:rsidRPr="001E255F">
        <w:rPr>
          <w:rFonts w:asciiTheme="majorHAnsi" w:hAnsiTheme="majorHAnsi"/>
          <w:b/>
        </w:rPr>
        <w:lastRenderedPageBreak/>
        <w:t xml:space="preserve">APPENDIX </w:t>
      </w:r>
      <w:r>
        <w:rPr>
          <w:rFonts w:asciiTheme="majorHAnsi" w:hAnsiTheme="majorHAnsi"/>
          <w:b/>
        </w:rPr>
        <w:t>7</w:t>
      </w:r>
      <w:bookmarkEnd w:id="151"/>
    </w:p>
    <w:p w:rsidR="00C719C8" w:rsidRDefault="00C719C8" w:rsidP="00C719C8">
      <w:pPr>
        <w:jc w:val="center"/>
        <w:rPr>
          <w:rFonts w:asciiTheme="majorHAnsi" w:eastAsia="Times" w:hAnsiTheme="majorHAnsi"/>
          <w:b/>
        </w:rPr>
      </w:pPr>
      <w:r w:rsidRPr="001E255F">
        <w:rPr>
          <w:rFonts w:asciiTheme="majorHAnsi" w:eastAsia="Times" w:hAnsiTheme="majorHAnsi"/>
          <w:b/>
        </w:rPr>
        <w:t xml:space="preserve">VERMONT BLUEPRINT </w:t>
      </w:r>
      <w:r>
        <w:rPr>
          <w:rFonts w:asciiTheme="majorHAnsi" w:eastAsia="Times" w:hAnsiTheme="majorHAnsi"/>
          <w:b/>
        </w:rPr>
        <w:t xml:space="preserve">WOMEN'S HEALTH INITIATIVE </w:t>
      </w:r>
      <w:r w:rsidR="00342C76">
        <w:rPr>
          <w:rFonts w:asciiTheme="majorHAnsi" w:eastAsia="Times" w:hAnsiTheme="majorHAnsi"/>
          <w:b/>
        </w:rPr>
        <w:t>(WHI)</w:t>
      </w:r>
    </w:p>
    <w:p w:rsidR="00C719C8" w:rsidRPr="001E255F" w:rsidRDefault="00C719C8" w:rsidP="00C719C8">
      <w:pPr>
        <w:jc w:val="center"/>
        <w:rPr>
          <w:rFonts w:asciiTheme="majorHAnsi" w:eastAsia="Times" w:hAnsiTheme="majorHAnsi"/>
          <w:b/>
          <w:caps/>
        </w:rPr>
      </w:pPr>
      <w:r w:rsidRPr="001E255F">
        <w:rPr>
          <w:rFonts w:asciiTheme="majorHAnsi" w:eastAsia="Times" w:hAnsiTheme="majorHAnsi"/>
          <w:b/>
        </w:rPr>
        <w:t>PPPM COMMON ATTRIBUTION</w:t>
      </w:r>
      <w:r w:rsidRPr="001E255F">
        <w:rPr>
          <w:rFonts w:asciiTheme="majorHAnsi" w:eastAsia="Times" w:hAnsiTheme="majorHAnsi"/>
          <w:b/>
          <w:caps/>
        </w:rPr>
        <w:t xml:space="preserve"> Algorithm</w:t>
      </w:r>
    </w:p>
    <w:p w:rsidR="00C719C8" w:rsidRPr="001E255F" w:rsidRDefault="00310A7D" w:rsidP="00C719C8">
      <w:pPr>
        <w:jc w:val="center"/>
        <w:rPr>
          <w:rFonts w:asciiTheme="majorHAnsi" w:eastAsia="Times" w:hAnsiTheme="majorHAnsi"/>
          <w:b/>
          <w:caps/>
        </w:rPr>
      </w:pPr>
      <w:r>
        <w:rPr>
          <w:rFonts w:asciiTheme="majorHAnsi" w:eastAsia="Times" w:hAnsiTheme="majorHAnsi"/>
          <w:b/>
          <w:caps/>
        </w:rPr>
        <w:t xml:space="preserve">WHI-Participating </w:t>
      </w:r>
      <w:r w:rsidR="00C719C8" w:rsidRPr="001E255F">
        <w:rPr>
          <w:rFonts w:asciiTheme="majorHAnsi" w:eastAsia="Times" w:hAnsiTheme="majorHAnsi"/>
          <w:b/>
          <w:caps/>
        </w:rPr>
        <w:t>Commercial Insurers and Medicaid</w:t>
      </w:r>
    </w:p>
    <w:p w:rsidR="00C719C8" w:rsidRPr="001E255F" w:rsidRDefault="00C719C8" w:rsidP="00C719C8">
      <w:pPr>
        <w:ind w:left="360"/>
        <w:rPr>
          <w:rFonts w:asciiTheme="majorHAnsi" w:eastAsia="Times" w:hAnsiTheme="majorHAnsi"/>
          <w:b/>
        </w:rPr>
      </w:pPr>
    </w:p>
    <w:p w:rsidR="00C719C8" w:rsidRPr="001E255F" w:rsidRDefault="00C719C8" w:rsidP="00C719C8">
      <w:pPr>
        <w:ind w:left="360"/>
        <w:contextualSpacing/>
        <w:rPr>
          <w:rFonts w:asciiTheme="majorHAnsi" w:eastAsia="Times" w:hAnsiTheme="majorHAnsi"/>
        </w:rPr>
      </w:pPr>
      <w:r w:rsidRPr="001E255F">
        <w:rPr>
          <w:rFonts w:asciiTheme="majorHAnsi" w:eastAsia="Times" w:hAnsiTheme="majorHAnsi"/>
        </w:rPr>
        <w:t>1.</w:t>
      </w:r>
      <w:r w:rsidRPr="001E255F">
        <w:rPr>
          <w:rFonts w:asciiTheme="majorHAnsi" w:eastAsia="Times" w:hAnsiTheme="majorHAnsi"/>
        </w:rPr>
        <w:tab/>
        <w:t>The look back period is the most recent 24 months for which claims are available.</w:t>
      </w:r>
    </w:p>
    <w:p w:rsidR="00C719C8" w:rsidRPr="001E255F" w:rsidRDefault="00C719C8" w:rsidP="00C719C8">
      <w:pPr>
        <w:ind w:left="360"/>
        <w:contextualSpacing/>
        <w:rPr>
          <w:rFonts w:asciiTheme="majorHAnsi" w:eastAsia="Times" w:hAnsiTheme="majorHAnsi"/>
        </w:rPr>
      </w:pPr>
    </w:p>
    <w:p w:rsidR="00C719C8" w:rsidRPr="001E255F" w:rsidRDefault="00C719C8" w:rsidP="00C719C8">
      <w:pPr>
        <w:ind w:left="720" w:hanging="360"/>
        <w:contextualSpacing/>
        <w:rPr>
          <w:rFonts w:asciiTheme="majorHAnsi" w:eastAsia="Times" w:hAnsiTheme="majorHAnsi"/>
        </w:rPr>
      </w:pPr>
      <w:r w:rsidRPr="001E255F">
        <w:rPr>
          <w:rFonts w:asciiTheme="majorHAnsi" w:eastAsia="Times" w:hAnsiTheme="majorHAnsi"/>
        </w:rPr>
        <w:t xml:space="preserve">2. </w:t>
      </w:r>
      <w:r w:rsidRPr="001E255F">
        <w:rPr>
          <w:rFonts w:asciiTheme="majorHAnsi" w:eastAsia="Times" w:hAnsiTheme="majorHAnsi"/>
        </w:rPr>
        <w:tab/>
        <w:t>Identify all members/beneficiaries who meet the following criteria as of the last day in the look back period:</w:t>
      </w:r>
    </w:p>
    <w:p w:rsidR="00C719C8" w:rsidRPr="001E255F" w:rsidRDefault="00C719C8" w:rsidP="00C719C8">
      <w:pPr>
        <w:numPr>
          <w:ilvl w:val="0"/>
          <w:numId w:val="11"/>
        </w:numPr>
        <w:tabs>
          <w:tab w:val="left" w:pos="1080"/>
        </w:tabs>
        <w:ind w:left="1080"/>
        <w:contextualSpacing/>
        <w:rPr>
          <w:rFonts w:asciiTheme="majorHAnsi" w:eastAsia="Times" w:hAnsiTheme="majorHAnsi"/>
        </w:rPr>
      </w:pPr>
      <w:r w:rsidRPr="001E255F">
        <w:rPr>
          <w:rFonts w:asciiTheme="majorHAnsi" w:eastAsia="Times" w:hAnsiTheme="majorHAnsi"/>
        </w:rPr>
        <w:t>Female, aged 15 – 44 years;</w:t>
      </w:r>
    </w:p>
    <w:p w:rsidR="00C719C8" w:rsidRPr="001E255F" w:rsidRDefault="00C719C8" w:rsidP="00C719C8">
      <w:pPr>
        <w:numPr>
          <w:ilvl w:val="0"/>
          <w:numId w:val="11"/>
        </w:numPr>
        <w:tabs>
          <w:tab w:val="left" w:pos="1080"/>
        </w:tabs>
        <w:ind w:left="1080"/>
        <w:contextualSpacing/>
        <w:rPr>
          <w:rFonts w:asciiTheme="majorHAnsi" w:eastAsia="Times" w:hAnsiTheme="majorHAnsi"/>
        </w:rPr>
      </w:pPr>
      <w:r w:rsidRPr="001E255F">
        <w:rPr>
          <w:rFonts w:asciiTheme="majorHAnsi" w:eastAsia="Times" w:hAnsiTheme="majorHAnsi"/>
        </w:rPr>
        <w:t>Reside in Vermont for Medicaid (and Medicare);</w:t>
      </w:r>
    </w:p>
    <w:p w:rsidR="00C719C8" w:rsidRPr="001E255F" w:rsidRDefault="00C719C8" w:rsidP="00C719C8">
      <w:pPr>
        <w:numPr>
          <w:ilvl w:val="0"/>
          <w:numId w:val="11"/>
        </w:numPr>
        <w:tabs>
          <w:tab w:val="left" w:pos="1080"/>
        </w:tabs>
        <w:ind w:left="1080"/>
        <w:contextualSpacing/>
        <w:rPr>
          <w:rFonts w:asciiTheme="majorHAnsi" w:eastAsia="Times" w:hAnsiTheme="majorHAnsi"/>
        </w:rPr>
      </w:pPr>
      <w:r w:rsidRPr="001E255F">
        <w:rPr>
          <w:rFonts w:asciiTheme="majorHAnsi" w:eastAsia="Times" w:hAnsiTheme="majorHAnsi"/>
        </w:rPr>
        <w:t>Employer sitused in Vermont or member/beneficiary residing in Vermont for commercial insurers</w:t>
      </w:r>
      <w:r w:rsidRPr="001E255F">
        <w:rPr>
          <w:rFonts w:asciiTheme="majorHAnsi" w:eastAsia="Times" w:hAnsiTheme="majorHAnsi" w:cs="Arial"/>
          <w:color w:val="000080"/>
          <w:sz w:val="20"/>
        </w:rPr>
        <w:t xml:space="preserve"> </w:t>
      </w:r>
      <w:r w:rsidRPr="001E255F">
        <w:rPr>
          <w:rFonts w:asciiTheme="majorHAnsi" w:eastAsia="Times" w:hAnsiTheme="majorHAnsi" w:cs="Arial"/>
        </w:rPr>
        <w:t>(payers can select one of these options)</w:t>
      </w:r>
      <w:r w:rsidRPr="001E255F">
        <w:rPr>
          <w:rFonts w:asciiTheme="majorHAnsi" w:eastAsia="Times" w:hAnsiTheme="majorHAnsi"/>
        </w:rPr>
        <w:t>;</w:t>
      </w:r>
    </w:p>
    <w:p w:rsidR="00C719C8" w:rsidRPr="001E255F" w:rsidRDefault="00C719C8" w:rsidP="00C719C8">
      <w:pPr>
        <w:numPr>
          <w:ilvl w:val="0"/>
          <w:numId w:val="11"/>
        </w:numPr>
        <w:tabs>
          <w:tab w:val="left" w:pos="1080"/>
        </w:tabs>
        <w:ind w:left="1080"/>
        <w:contextualSpacing/>
        <w:rPr>
          <w:rFonts w:asciiTheme="majorHAnsi" w:eastAsia="Times" w:hAnsiTheme="majorHAnsi"/>
        </w:rPr>
      </w:pPr>
      <w:r w:rsidRPr="001E255F">
        <w:rPr>
          <w:rFonts w:asciiTheme="majorHAnsi" w:eastAsia="Times" w:hAnsiTheme="majorHAnsi"/>
        </w:rPr>
        <w:t>The insurer is the primary payer</w:t>
      </w:r>
      <w:r>
        <w:rPr>
          <w:rFonts w:asciiTheme="majorHAnsi" w:eastAsia="Times" w:hAnsiTheme="majorHAnsi"/>
        </w:rPr>
        <w:t>, or (for Medicaid) the beneficiary is a dual Medicaid/Medicare beneficiary without a commercial insurer as the primary payer.</w:t>
      </w:r>
    </w:p>
    <w:p w:rsidR="00C719C8" w:rsidRPr="001E255F" w:rsidRDefault="00C719C8" w:rsidP="00C719C8">
      <w:pPr>
        <w:ind w:left="1620"/>
        <w:rPr>
          <w:rFonts w:asciiTheme="majorHAnsi" w:eastAsia="Times" w:hAnsiTheme="majorHAnsi"/>
        </w:rPr>
      </w:pPr>
    </w:p>
    <w:p w:rsidR="00C719C8" w:rsidRPr="001E255F" w:rsidRDefault="00C719C8" w:rsidP="00C719C8">
      <w:pPr>
        <w:tabs>
          <w:tab w:val="left" w:pos="720"/>
        </w:tabs>
        <w:ind w:left="720" w:hanging="720"/>
        <w:contextualSpacing/>
        <w:rPr>
          <w:rFonts w:asciiTheme="majorHAnsi" w:eastAsia="Times" w:hAnsiTheme="majorHAnsi"/>
          <w:u w:val="single"/>
        </w:rPr>
      </w:pPr>
      <w:r w:rsidRPr="001E255F">
        <w:rPr>
          <w:rFonts w:asciiTheme="majorHAnsi" w:eastAsia="Times" w:hAnsiTheme="majorHAnsi"/>
        </w:rPr>
        <w:t xml:space="preserve">      3.</w:t>
      </w:r>
      <w:r w:rsidRPr="001E255F">
        <w:rPr>
          <w:rFonts w:asciiTheme="majorHAnsi" w:eastAsia="Times" w:hAnsiTheme="majorHAnsi"/>
        </w:rPr>
        <w:tab/>
        <w:t>For products that require members/beneficiaries to select a primary care provider, attribute those members/beneficiaries to that provider if the provider is in a WHI-recognized practice.</w:t>
      </w:r>
    </w:p>
    <w:p w:rsidR="00C719C8" w:rsidRPr="001E255F" w:rsidRDefault="00C719C8" w:rsidP="00C719C8">
      <w:pPr>
        <w:tabs>
          <w:tab w:val="left" w:pos="720"/>
        </w:tabs>
        <w:ind w:left="360"/>
        <w:contextualSpacing/>
        <w:rPr>
          <w:rFonts w:asciiTheme="majorHAnsi" w:eastAsia="Times" w:hAnsiTheme="majorHAnsi"/>
          <w:u w:val="single"/>
        </w:rPr>
      </w:pPr>
    </w:p>
    <w:p w:rsidR="00C719C8" w:rsidRPr="001E255F" w:rsidRDefault="00C719C8" w:rsidP="00C719C8">
      <w:pPr>
        <w:numPr>
          <w:ilvl w:val="0"/>
          <w:numId w:val="10"/>
        </w:numPr>
        <w:tabs>
          <w:tab w:val="left" w:pos="720"/>
        </w:tabs>
        <w:ind w:left="720"/>
        <w:contextualSpacing/>
        <w:rPr>
          <w:rFonts w:asciiTheme="majorHAnsi" w:eastAsia="Times" w:hAnsiTheme="majorHAnsi"/>
          <w:u w:val="single"/>
        </w:rPr>
      </w:pPr>
      <w:r w:rsidRPr="001E255F">
        <w:rPr>
          <w:rFonts w:asciiTheme="majorHAnsi" w:eastAsia="Times" w:hAnsiTheme="majorHAnsi"/>
        </w:rPr>
        <w:t>For other members/beneficiaries, select all claims for beneficiaries identified in step 2 with the following qualifying CPT Codes in the look back period (most recent 24 months) for women’s health providers included on WHI</w:t>
      </w:r>
      <w:r w:rsidR="002D6C23">
        <w:rPr>
          <w:rFonts w:asciiTheme="majorHAnsi" w:eastAsia="Times" w:hAnsiTheme="majorHAnsi"/>
        </w:rPr>
        <w:t>-participating practice</w:t>
      </w:r>
      <w:r w:rsidRPr="001E255F">
        <w:rPr>
          <w:rFonts w:asciiTheme="majorHAnsi" w:eastAsia="Times" w:hAnsiTheme="majorHAnsi"/>
        </w:rPr>
        <w:t xml:space="preserve"> payment rosters, </w:t>
      </w:r>
      <w:r w:rsidRPr="001E255F">
        <w:rPr>
          <w:rFonts w:asciiTheme="majorHAnsi" w:eastAsia="Times" w:hAnsiTheme="majorHAnsi"/>
          <w:u w:val="single"/>
        </w:rPr>
        <w:t xml:space="preserve">where </w:t>
      </w:r>
      <w:r>
        <w:rPr>
          <w:rFonts w:asciiTheme="majorHAnsi" w:eastAsia="Times" w:hAnsiTheme="majorHAnsi"/>
          <w:u w:val="single"/>
        </w:rPr>
        <w:t xml:space="preserve">the practice has signed the self-attestation document for participation in the Blueprint Women’s Health Initiative and </w:t>
      </w:r>
      <w:r w:rsidRPr="001E255F">
        <w:rPr>
          <w:rFonts w:asciiTheme="majorHAnsi" w:eastAsia="Times" w:hAnsiTheme="majorHAnsi"/>
          <w:u w:val="single"/>
        </w:rPr>
        <w:t xml:space="preserve">the provider’s credential is as a doctor of medicine, doctor of osteopathic medicine, nurse practitioner, certified nurse midwife, or physician assistant. </w:t>
      </w:r>
    </w:p>
    <w:p w:rsidR="00C719C8" w:rsidRPr="001E255F" w:rsidRDefault="00C719C8" w:rsidP="00C719C8">
      <w:pPr>
        <w:jc w:val="center"/>
        <w:rPr>
          <w:rFonts w:asciiTheme="majorHAnsi" w:hAnsiTheme="majorHAnsi"/>
          <w:b/>
          <w:lang w:val="fr-FR"/>
        </w:rPr>
      </w:pPr>
    </w:p>
    <w:tbl>
      <w:tblPr>
        <w:tblW w:w="846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0"/>
      </w:tblGrid>
      <w:tr w:rsidR="00C719C8" w:rsidRPr="001E255F" w:rsidTr="009A3EAF">
        <w:trPr>
          <w:cantSplit/>
          <w:tblHeader/>
        </w:trPr>
        <w:tc>
          <w:tcPr>
            <w:tcW w:w="8460" w:type="dxa"/>
            <w:shd w:val="clear" w:color="auto" w:fill="D6E3BC"/>
            <w:vAlign w:val="bottom"/>
          </w:tcPr>
          <w:p w:rsidR="00C719C8" w:rsidRPr="001E255F" w:rsidRDefault="00C719C8" w:rsidP="009A3EAF">
            <w:pPr>
              <w:jc w:val="center"/>
              <w:rPr>
                <w:rFonts w:asciiTheme="majorHAnsi" w:hAnsiTheme="majorHAnsi"/>
                <w:b/>
                <w:bCs/>
              </w:rPr>
            </w:pPr>
            <w:r w:rsidRPr="001E255F">
              <w:rPr>
                <w:rFonts w:asciiTheme="majorHAnsi" w:hAnsiTheme="majorHAnsi"/>
                <w:b/>
                <w:bCs/>
              </w:rPr>
              <w:t>CPT-4 Code Description Summary</w:t>
            </w:r>
          </w:p>
        </w:tc>
      </w:tr>
      <w:tr w:rsidR="00C719C8" w:rsidRPr="001E255F" w:rsidTr="009A3EAF">
        <w:tc>
          <w:tcPr>
            <w:tcW w:w="8460" w:type="dxa"/>
            <w:shd w:val="clear" w:color="auto" w:fill="FBD4B4" w:themeFill="accent6" w:themeFillTint="66"/>
            <w:vAlign w:val="bottom"/>
          </w:tcPr>
          <w:p w:rsidR="00C719C8" w:rsidRPr="001E255F" w:rsidRDefault="00C719C8" w:rsidP="009A3EAF">
            <w:pPr>
              <w:jc w:val="center"/>
              <w:rPr>
                <w:rFonts w:asciiTheme="majorHAnsi" w:hAnsiTheme="majorHAnsi"/>
                <w:b/>
                <w:bCs/>
              </w:rPr>
            </w:pPr>
            <w:r w:rsidRPr="001E255F">
              <w:rPr>
                <w:rFonts w:asciiTheme="majorHAnsi" w:hAnsiTheme="majorHAnsi"/>
                <w:b/>
                <w:bCs/>
              </w:rPr>
              <w:t>PCMH &amp; WHI Codes</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Evaluation and Management - Office or Other Outpatient Services</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New Patient:  99201-99205</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Established Patient:  99211-99215</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Consultations - Office or Other Outpatient Consultations</w:t>
            </w:r>
          </w:p>
          <w:p w:rsidR="00C719C8" w:rsidRPr="001E255F" w:rsidRDefault="00C719C8" w:rsidP="009A3EAF">
            <w:pPr>
              <w:numPr>
                <w:ilvl w:val="0"/>
                <w:numId w:val="5"/>
              </w:numPr>
              <w:rPr>
                <w:rFonts w:asciiTheme="majorHAnsi" w:eastAsia="Times" w:hAnsiTheme="majorHAnsi"/>
              </w:rPr>
            </w:pPr>
            <w:r w:rsidRPr="001E255F">
              <w:rPr>
                <w:rFonts w:asciiTheme="majorHAnsi" w:eastAsia="Times" w:hAnsiTheme="majorHAnsi"/>
              </w:rPr>
              <w:t>New or Established Patient:  99241-99245</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Nursing Facility Services:</w:t>
            </w:r>
          </w:p>
          <w:p w:rsidR="00C719C8" w:rsidRPr="001E255F" w:rsidRDefault="00C719C8" w:rsidP="009A3EAF">
            <w:pPr>
              <w:numPr>
                <w:ilvl w:val="0"/>
                <w:numId w:val="6"/>
              </w:numPr>
              <w:rPr>
                <w:rFonts w:asciiTheme="majorHAnsi" w:eastAsia="Times" w:hAnsiTheme="majorHAnsi"/>
              </w:rPr>
            </w:pPr>
            <w:r w:rsidRPr="001E255F">
              <w:rPr>
                <w:rFonts w:asciiTheme="majorHAnsi" w:eastAsia="Times" w:hAnsiTheme="majorHAnsi"/>
              </w:rPr>
              <w:t>E &amp; M New/Established patient:  99304-99306</w:t>
            </w:r>
          </w:p>
          <w:p w:rsidR="00C719C8" w:rsidRPr="001E255F" w:rsidRDefault="00C719C8" w:rsidP="009A3EAF">
            <w:pPr>
              <w:numPr>
                <w:ilvl w:val="0"/>
                <w:numId w:val="6"/>
              </w:numPr>
              <w:rPr>
                <w:rFonts w:asciiTheme="majorHAnsi" w:eastAsia="Times" w:hAnsiTheme="majorHAnsi"/>
                <w:b/>
                <w:bCs/>
                <w:noProof/>
              </w:rPr>
            </w:pPr>
            <w:r w:rsidRPr="001E255F">
              <w:rPr>
                <w:rFonts w:asciiTheme="majorHAnsi" w:eastAsia="Times" w:hAnsiTheme="majorHAnsi"/>
              </w:rPr>
              <w:t>Subsequent Nursing Facility Care:  99307-99310</w:t>
            </w:r>
          </w:p>
        </w:tc>
      </w:tr>
      <w:tr w:rsidR="00C719C8" w:rsidRPr="001E255F" w:rsidTr="009A3EAF">
        <w:trPr>
          <w:trHeight w:val="323"/>
        </w:trPr>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Domiciliary, Rest Home (e.g., Boarding Home), or Custodial Care Service:</w:t>
            </w:r>
          </w:p>
          <w:p w:rsidR="00C719C8" w:rsidRPr="001E255F" w:rsidRDefault="00C719C8" w:rsidP="009A3EAF">
            <w:pPr>
              <w:numPr>
                <w:ilvl w:val="0"/>
                <w:numId w:val="7"/>
              </w:numPr>
              <w:rPr>
                <w:rFonts w:asciiTheme="majorHAnsi" w:eastAsia="Times" w:hAnsiTheme="majorHAnsi"/>
              </w:rPr>
            </w:pPr>
            <w:r w:rsidRPr="001E255F">
              <w:rPr>
                <w:rFonts w:asciiTheme="majorHAnsi" w:eastAsia="Times" w:hAnsiTheme="majorHAnsi"/>
              </w:rPr>
              <w:t>Domiciliary or Rest Home Visit New Patient:  99324-99328</w:t>
            </w:r>
          </w:p>
          <w:p w:rsidR="00C719C8" w:rsidRPr="001E255F" w:rsidRDefault="00C719C8" w:rsidP="009A3EAF">
            <w:pPr>
              <w:numPr>
                <w:ilvl w:val="0"/>
                <w:numId w:val="7"/>
              </w:numPr>
              <w:rPr>
                <w:rFonts w:asciiTheme="majorHAnsi" w:eastAsia="Times" w:hAnsiTheme="majorHAnsi"/>
                <w:b/>
                <w:bCs/>
                <w:color w:val="FF0000"/>
              </w:rPr>
            </w:pPr>
            <w:r w:rsidRPr="001E255F">
              <w:rPr>
                <w:rFonts w:asciiTheme="majorHAnsi" w:eastAsia="Times" w:hAnsiTheme="majorHAnsi"/>
              </w:rPr>
              <w:t>Domiciliary or Rest Home Visit Established Patient:  99334-99337</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Home Services</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New Patient:  99341-99345</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Established Patient:  99347-99350</w:t>
            </w:r>
          </w:p>
        </w:tc>
      </w:tr>
      <w:tr w:rsidR="00C719C8" w:rsidRPr="001E255F" w:rsidTr="009A3EAF">
        <w:tc>
          <w:tcPr>
            <w:tcW w:w="8460" w:type="dxa"/>
            <w:vAlign w:val="bottom"/>
          </w:tcPr>
          <w:p w:rsidR="00C719C8" w:rsidRPr="001E255F" w:rsidRDefault="00C719C8" w:rsidP="009A3EAF">
            <w:pPr>
              <w:rPr>
                <w:rFonts w:asciiTheme="majorHAnsi" w:eastAsia="Times" w:hAnsiTheme="majorHAnsi"/>
                <w:b/>
                <w:bCs/>
              </w:rPr>
            </w:pPr>
            <w:r w:rsidRPr="001E255F">
              <w:rPr>
                <w:rFonts w:asciiTheme="majorHAnsi" w:eastAsia="Times" w:hAnsiTheme="majorHAnsi"/>
                <w:b/>
                <w:bCs/>
              </w:rPr>
              <w:lastRenderedPageBreak/>
              <w:t>Prolonged Services – Prolonged Physician Service With Direct (Face-to-Face) Patient Contact</w:t>
            </w:r>
          </w:p>
          <w:p w:rsidR="00C719C8" w:rsidRPr="001E255F" w:rsidRDefault="00C719C8" w:rsidP="009A3EAF">
            <w:pPr>
              <w:numPr>
                <w:ilvl w:val="0"/>
                <w:numId w:val="6"/>
              </w:numPr>
              <w:rPr>
                <w:rFonts w:asciiTheme="majorHAnsi" w:eastAsia="Times" w:hAnsiTheme="majorHAnsi"/>
                <w:b/>
                <w:bCs/>
              </w:rPr>
            </w:pPr>
            <w:r w:rsidRPr="001E255F">
              <w:rPr>
                <w:rFonts w:asciiTheme="majorHAnsi" w:eastAsia="Times" w:hAnsiTheme="majorHAnsi"/>
              </w:rPr>
              <w:t>99354 and 99355</w:t>
            </w:r>
          </w:p>
        </w:tc>
      </w:tr>
      <w:tr w:rsidR="00C719C8" w:rsidRPr="001E255F" w:rsidTr="009A3EAF">
        <w:trPr>
          <w:trHeight w:val="70"/>
        </w:trPr>
        <w:tc>
          <w:tcPr>
            <w:tcW w:w="8460" w:type="dxa"/>
            <w:vAlign w:val="bottom"/>
          </w:tcPr>
          <w:p w:rsidR="00C719C8" w:rsidRPr="001E255F" w:rsidRDefault="00C719C8" w:rsidP="009A3EAF">
            <w:pPr>
              <w:rPr>
                <w:rFonts w:asciiTheme="majorHAnsi" w:eastAsia="Times" w:hAnsiTheme="majorHAnsi"/>
                <w:b/>
                <w:bCs/>
              </w:rPr>
            </w:pPr>
            <w:r w:rsidRPr="001E255F">
              <w:rPr>
                <w:rFonts w:asciiTheme="majorHAnsi" w:eastAsia="Times" w:hAnsiTheme="majorHAnsi"/>
                <w:b/>
                <w:bCs/>
              </w:rPr>
              <w:t>Prolonged Services – Prolonged Physician Service Without  Direct (Face-to-Face) Patient Contact</w:t>
            </w:r>
          </w:p>
          <w:p w:rsidR="00C719C8" w:rsidRPr="001E255F" w:rsidRDefault="00C719C8" w:rsidP="009A3EAF">
            <w:pPr>
              <w:numPr>
                <w:ilvl w:val="0"/>
                <w:numId w:val="6"/>
              </w:numPr>
              <w:rPr>
                <w:rFonts w:asciiTheme="majorHAnsi" w:eastAsia="Times" w:hAnsiTheme="majorHAnsi"/>
                <w:b/>
                <w:bCs/>
              </w:rPr>
            </w:pPr>
            <w:r w:rsidRPr="001E255F">
              <w:rPr>
                <w:rFonts w:asciiTheme="majorHAnsi" w:eastAsia="Times" w:hAnsiTheme="majorHAnsi"/>
              </w:rPr>
              <w:t>99358 and 99359</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Preventive Medicine Services</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New Patient:  99381–99387</w:t>
            </w:r>
          </w:p>
          <w:p w:rsidR="00C719C8" w:rsidRPr="001E255F" w:rsidRDefault="00C719C8" w:rsidP="009A3EAF">
            <w:pPr>
              <w:numPr>
                <w:ilvl w:val="2"/>
                <w:numId w:val="4"/>
              </w:numPr>
              <w:rPr>
                <w:rFonts w:asciiTheme="majorHAnsi" w:eastAsia="Times" w:hAnsiTheme="majorHAnsi"/>
                <w:b/>
                <w:bCs/>
                <w:noProof/>
              </w:rPr>
            </w:pPr>
            <w:r w:rsidRPr="001E255F">
              <w:rPr>
                <w:rFonts w:asciiTheme="majorHAnsi" w:eastAsia="Times" w:hAnsiTheme="majorHAnsi"/>
              </w:rPr>
              <w:t>Established Patient:  99391–99397</w:t>
            </w:r>
          </w:p>
        </w:tc>
      </w:tr>
      <w:tr w:rsidR="00C719C8" w:rsidRPr="001E255F" w:rsidTr="009A3EAF">
        <w:tc>
          <w:tcPr>
            <w:tcW w:w="8460" w:type="dxa"/>
            <w:vAlign w:val="bottom"/>
          </w:tcPr>
          <w:p w:rsidR="00C719C8" w:rsidRPr="001E255F" w:rsidRDefault="00C719C8" w:rsidP="009A3EAF">
            <w:pPr>
              <w:rPr>
                <w:rFonts w:asciiTheme="majorHAnsi" w:hAnsiTheme="majorHAnsi"/>
                <w:b/>
                <w:bCs/>
                <w:noProof/>
              </w:rPr>
            </w:pPr>
            <w:r w:rsidRPr="001E255F">
              <w:rPr>
                <w:rFonts w:asciiTheme="majorHAnsi" w:hAnsiTheme="majorHAnsi"/>
                <w:b/>
                <w:bCs/>
                <w:noProof/>
              </w:rPr>
              <w:t>Counseling Risk Factor Reduction and Behavior Change Intervention</w:t>
            </w:r>
          </w:p>
          <w:p w:rsidR="00C719C8" w:rsidRPr="001E255F" w:rsidRDefault="00C719C8" w:rsidP="009A3EAF">
            <w:pPr>
              <w:numPr>
                <w:ilvl w:val="0"/>
                <w:numId w:val="5"/>
              </w:numPr>
              <w:rPr>
                <w:rFonts w:asciiTheme="majorHAnsi" w:eastAsia="Times" w:hAnsiTheme="majorHAnsi"/>
              </w:rPr>
            </w:pPr>
            <w:r w:rsidRPr="001E255F">
              <w:rPr>
                <w:rFonts w:asciiTheme="majorHAnsi" w:eastAsia="Times" w:hAnsiTheme="majorHAnsi"/>
              </w:rPr>
              <w:t>New or Established Patient Preventive Medicine, Individual Counseling:  99401–99404</w:t>
            </w:r>
          </w:p>
          <w:p w:rsidR="00C719C8" w:rsidRPr="001E255F" w:rsidRDefault="00C719C8" w:rsidP="009A3EAF">
            <w:pPr>
              <w:numPr>
                <w:ilvl w:val="0"/>
                <w:numId w:val="5"/>
              </w:numPr>
              <w:rPr>
                <w:rFonts w:asciiTheme="majorHAnsi" w:eastAsia="Times" w:hAnsiTheme="majorHAnsi"/>
              </w:rPr>
            </w:pPr>
            <w:r w:rsidRPr="001E255F">
              <w:rPr>
                <w:rFonts w:asciiTheme="majorHAnsi" w:eastAsia="Times" w:hAnsiTheme="majorHAnsi"/>
              </w:rPr>
              <w:t>New or Established Patient Behavior Change Interventions, Individual:  99406-99409</w:t>
            </w:r>
          </w:p>
          <w:p w:rsidR="00C719C8" w:rsidRPr="001E255F" w:rsidRDefault="00C719C8" w:rsidP="009A3EAF">
            <w:pPr>
              <w:numPr>
                <w:ilvl w:val="0"/>
                <w:numId w:val="5"/>
              </w:numPr>
              <w:rPr>
                <w:rFonts w:asciiTheme="majorHAnsi" w:eastAsia="Times" w:hAnsiTheme="majorHAnsi"/>
                <w:b/>
                <w:bCs/>
              </w:rPr>
            </w:pPr>
            <w:r w:rsidRPr="001E255F">
              <w:rPr>
                <w:rFonts w:asciiTheme="majorHAnsi" w:eastAsia="Times" w:hAnsiTheme="majorHAnsi"/>
              </w:rPr>
              <w:t>New or Established Patient Preventive Medicine, Group Counseling:  99411–99412</w:t>
            </w:r>
          </w:p>
        </w:tc>
      </w:tr>
      <w:tr w:rsidR="00C719C8" w:rsidRPr="001E255F" w:rsidTr="009A3EAF">
        <w:trPr>
          <w:trHeight w:val="620"/>
        </w:trPr>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Other Preventive Medicine Services – Administration and interpretation:</w:t>
            </w:r>
          </w:p>
          <w:p w:rsidR="00C719C8" w:rsidRPr="001E255F" w:rsidRDefault="00C719C8" w:rsidP="009A3EAF">
            <w:pPr>
              <w:numPr>
                <w:ilvl w:val="0"/>
                <w:numId w:val="8"/>
              </w:numPr>
              <w:spacing w:after="200" w:line="276" w:lineRule="auto"/>
              <w:contextualSpacing/>
              <w:rPr>
                <w:rFonts w:asciiTheme="majorHAnsi" w:eastAsia="Times" w:hAnsiTheme="majorHAnsi"/>
                <w:b/>
                <w:bCs/>
              </w:rPr>
            </w:pPr>
            <w:r w:rsidRPr="001E255F">
              <w:rPr>
                <w:rFonts w:asciiTheme="majorHAnsi" w:eastAsia="Times" w:hAnsiTheme="majorHAnsi"/>
              </w:rPr>
              <w:t>99420</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Other Preventive Medicine Services – Unlisted preventive:</w:t>
            </w:r>
          </w:p>
          <w:p w:rsidR="00C719C8" w:rsidRPr="001E255F" w:rsidRDefault="00C719C8" w:rsidP="009A3EAF">
            <w:pPr>
              <w:numPr>
                <w:ilvl w:val="0"/>
                <w:numId w:val="8"/>
              </w:numPr>
              <w:spacing w:after="200" w:line="276" w:lineRule="auto"/>
              <w:contextualSpacing/>
              <w:rPr>
                <w:rFonts w:asciiTheme="majorHAnsi" w:eastAsia="Times" w:hAnsiTheme="majorHAnsi"/>
                <w:b/>
                <w:bCs/>
              </w:rPr>
            </w:pPr>
            <w:r w:rsidRPr="001E255F">
              <w:rPr>
                <w:rFonts w:asciiTheme="majorHAnsi" w:eastAsia="Times" w:hAnsiTheme="majorHAnsi"/>
              </w:rPr>
              <w:t>99429</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Newborn Care Services</w:t>
            </w:r>
          </w:p>
          <w:p w:rsidR="00C719C8" w:rsidRPr="001E255F" w:rsidRDefault="00C719C8" w:rsidP="009A3EAF">
            <w:pPr>
              <w:numPr>
                <w:ilvl w:val="0"/>
                <w:numId w:val="8"/>
              </w:numPr>
              <w:rPr>
                <w:rFonts w:asciiTheme="majorHAnsi" w:hAnsiTheme="majorHAnsi"/>
                <w:bCs/>
              </w:rPr>
            </w:pPr>
            <w:r w:rsidRPr="001E255F">
              <w:rPr>
                <w:rFonts w:asciiTheme="majorHAnsi" w:hAnsiTheme="majorHAnsi"/>
                <w:bCs/>
              </w:rPr>
              <w:t>Initial and subsequent care for evaluation and management of normal newborn infant:  99460-99463</w:t>
            </w:r>
          </w:p>
          <w:p w:rsidR="00C719C8" w:rsidRPr="001E255F" w:rsidRDefault="00C719C8" w:rsidP="009A3EAF">
            <w:pPr>
              <w:numPr>
                <w:ilvl w:val="0"/>
                <w:numId w:val="8"/>
              </w:numPr>
              <w:rPr>
                <w:rFonts w:asciiTheme="majorHAnsi" w:hAnsiTheme="majorHAnsi"/>
                <w:bCs/>
              </w:rPr>
            </w:pPr>
            <w:r w:rsidRPr="001E255F">
              <w:rPr>
                <w:rFonts w:asciiTheme="majorHAnsi" w:hAnsiTheme="majorHAnsi"/>
                <w:bCs/>
              </w:rPr>
              <w:t>Attendance at delivery (when requested by the delivering physician) and initial stabilization of newborn:  99464</w:t>
            </w:r>
          </w:p>
          <w:p w:rsidR="00C719C8" w:rsidRPr="001E255F" w:rsidRDefault="00C719C8" w:rsidP="009A3EAF">
            <w:pPr>
              <w:numPr>
                <w:ilvl w:val="0"/>
                <w:numId w:val="8"/>
              </w:numPr>
              <w:rPr>
                <w:rFonts w:asciiTheme="majorHAnsi" w:hAnsiTheme="majorHAnsi"/>
                <w:bCs/>
              </w:rPr>
            </w:pPr>
            <w:r w:rsidRPr="001E255F">
              <w:rPr>
                <w:rFonts w:asciiTheme="majorHAnsi" w:hAnsiTheme="majorHAnsi"/>
                <w:bCs/>
              </w:rPr>
              <w:t>Delivery/birthing room resuscitation:  99465</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Federally Qualified Health Center (FQHC) – Global Visit</w:t>
            </w:r>
          </w:p>
          <w:p w:rsidR="00C719C8" w:rsidRPr="001E255F" w:rsidRDefault="00C719C8" w:rsidP="009A3EAF">
            <w:pPr>
              <w:rPr>
                <w:rFonts w:asciiTheme="majorHAnsi" w:hAnsiTheme="majorHAnsi"/>
                <w:b/>
                <w:bCs/>
                <w:i/>
              </w:rPr>
            </w:pPr>
            <w:r w:rsidRPr="001E255F">
              <w:rPr>
                <w:rFonts w:asciiTheme="majorHAnsi" w:hAnsiTheme="majorHAnsi"/>
                <w:b/>
                <w:bCs/>
                <w:i/>
                <w:u w:val="single"/>
              </w:rPr>
              <w:t>(billed as a revenue code on an institutional claim form</w:t>
            </w:r>
            <w:r w:rsidRPr="001E255F">
              <w:rPr>
                <w:rFonts w:asciiTheme="majorHAnsi" w:hAnsiTheme="majorHAnsi"/>
                <w:b/>
                <w:bCs/>
                <w:i/>
              </w:rPr>
              <w:t>)</w:t>
            </w:r>
          </w:p>
          <w:p w:rsidR="00C719C8" w:rsidRPr="001E255F" w:rsidRDefault="00C719C8" w:rsidP="009A3EAF">
            <w:pPr>
              <w:numPr>
                <w:ilvl w:val="0"/>
                <w:numId w:val="8"/>
              </w:numPr>
              <w:tabs>
                <w:tab w:val="left" w:pos="432"/>
              </w:tabs>
              <w:spacing w:after="200" w:line="276" w:lineRule="auto"/>
              <w:contextualSpacing/>
              <w:rPr>
                <w:rFonts w:asciiTheme="majorHAnsi" w:eastAsia="Times" w:hAnsiTheme="majorHAnsi"/>
              </w:rPr>
            </w:pPr>
            <w:r w:rsidRPr="001E255F">
              <w:rPr>
                <w:rFonts w:asciiTheme="majorHAnsi" w:eastAsia="Times" w:hAnsiTheme="majorHAnsi"/>
              </w:rPr>
              <w:t>0521 = Clinic visit by member to RHC/FQHC;</w:t>
            </w:r>
          </w:p>
          <w:p w:rsidR="00C719C8" w:rsidRPr="001E255F" w:rsidRDefault="00C719C8" w:rsidP="009A3EAF">
            <w:pPr>
              <w:numPr>
                <w:ilvl w:val="0"/>
                <w:numId w:val="8"/>
              </w:numPr>
              <w:spacing w:after="200" w:line="276" w:lineRule="auto"/>
              <w:contextualSpacing/>
              <w:rPr>
                <w:rFonts w:asciiTheme="majorHAnsi" w:eastAsia="Times" w:hAnsiTheme="majorHAnsi"/>
                <w:b/>
                <w:bCs/>
              </w:rPr>
            </w:pPr>
            <w:r w:rsidRPr="001E255F">
              <w:rPr>
                <w:rFonts w:asciiTheme="majorHAnsi" w:eastAsia="Times" w:hAnsiTheme="majorHAnsi"/>
              </w:rPr>
              <w:t>0522 = Home visit by RHC/FQHC practitioner</w:t>
            </w:r>
          </w:p>
          <w:p w:rsidR="00C719C8" w:rsidRPr="001E255F" w:rsidRDefault="00C719C8" w:rsidP="009A3EAF">
            <w:pPr>
              <w:numPr>
                <w:ilvl w:val="0"/>
                <w:numId w:val="8"/>
              </w:numPr>
              <w:spacing w:after="200" w:line="276" w:lineRule="auto"/>
              <w:contextualSpacing/>
              <w:rPr>
                <w:rFonts w:asciiTheme="majorHAnsi" w:eastAsia="Times" w:hAnsiTheme="majorHAnsi"/>
                <w:b/>
                <w:bCs/>
              </w:rPr>
            </w:pPr>
            <w:r w:rsidRPr="001E255F">
              <w:rPr>
                <w:rFonts w:asciiTheme="majorHAnsi" w:eastAsia="Times" w:hAnsiTheme="majorHAnsi"/>
              </w:rPr>
              <w:t>0525 = Nursing home visit by RHC/FQHC practitioner</w:t>
            </w:r>
          </w:p>
        </w:tc>
      </w:tr>
      <w:tr w:rsidR="00C719C8" w:rsidRPr="001E255F" w:rsidTr="009A3EAF">
        <w:tc>
          <w:tcPr>
            <w:tcW w:w="8460" w:type="dxa"/>
            <w:shd w:val="clear" w:color="auto" w:fill="FBD4B4" w:themeFill="accent6" w:themeFillTint="66"/>
            <w:vAlign w:val="bottom"/>
          </w:tcPr>
          <w:p w:rsidR="00C719C8" w:rsidRPr="001E255F" w:rsidRDefault="00C719C8" w:rsidP="009A3EAF">
            <w:pPr>
              <w:jc w:val="center"/>
              <w:rPr>
                <w:rFonts w:asciiTheme="majorHAnsi" w:hAnsiTheme="majorHAnsi"/>
                <w:b/>
                <w:bCs/>
              </w:rPr>
            </w:pPr>
            <w:r w:rsidRPr="001E255F">
              <w:rPr>
                <w:rFonts w:asciiTheme="majorHAnsi" w:hAnsiTheme="majorHAnsi"/>
                <w:b/>
                <w:bCs/>
              </w:rPr>
              <w:t>WHI Unique Codes</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Asymptomatic Bacteriuria Screening in Pregnant Female</w:t>
            </w:r>
          </w:p>
          <w:p w:rsidR="00C719C8" w:rsidRPr="001E255F" w:rsidRDefault="00C719C8" w:rsidP="00515635">
            <w:pPr>
              <w:pStyle w:val="ListParagraph"/>
              <w:numPr>
                <w:ilvl w:val="0"/>
                <w:numId w:val="18"/>
              </w:numPr>
              <w:rPr>
                <w:rFonts w:asciiTheme="majorHAnsi" w:hAnsiTheme="majorHAnsi"/>
                <w:b/>
                <w:bCs/>
              </w:rPr>
            </w:pPr>
            <w:r w:rsidRPr="001E255F">
              <w:rPr>
                <w:rFonts w:asciiTheme="majorHAnsi" w:eastAsia="Times" w:hAnsiTheme="majorHAnsi"/>
              </w:rPr>
              <w:t>87081, 87084, 87086, and 87088</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Breast and Ovarian Cancer Susceptibility, Genetic Counseling and Evaluation for BRCA Testing</w:t>
            </w:r>
          </w:p>
          <w:p w:rsidR="00C719C8" w:rsidRPr="001E255F" w:rsidRDefault="00C719C8" w:rsidP="00515635">
            <w:pPr>
              <w:pStyle w:val="ListParagraph"/>
              <w:numPr>
                <w:ilvl w:val="0"/>
                <w:numId w:val="18"/>
              </w:numPr>
              <w:rPr>
                <w:rFonts w:asciiTheme="majorHAnsi" w:hAnsiTheme="majorHAnsi"/>
                <w:b/>
                <w:bCs/>
              </w:rPr>
            </w:pPr>
            <w:r w:rsidRPr="001E255F">
              <w:rPr>
                <w:rFonts w:asciiTheme="majorHAnsi" w:eastAsia="Times" w:hAnsiTheme="majorHAnsi"/>
              </w:rPr>
              <w:t>96040</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Breast Cancer Screening</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77052, 77055-77057, and 77063</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G0202</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Breast Feeding Support, Supplies and Counseling</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A4281-A4286</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lastRenderedPageBreak/>
              <w:t>E0602-E0604</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S9443</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lastRenderedPageBreak/>
              <w:t>Cervical Cancer Screening</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88141-88143, 88147, 88148, 88150, 88152-88154, 88164-88167, 88174, and 88175</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G0101, G0123, G0141, G0143-G0145, G0147, and G0148</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Q0091</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Chlamydia Screening</w:t>
            </w:r>
          </w:p>
          <w:p w:rsidR="00C719C8" w:rsidRPr="001E255F" w:rsidRDefault="00C719C8" w:rsidP="00515635">
            <w:pPr>
              <w:pStyle w:val="ListParagraph"/>
              <w:numPr>
                <w:ilvl w:val="0"/>
                <w:numId w:val="19"/>
              </w:numPr>
              <w:rPr>
                <w:rFonts w:asciiTheme="majorHAnsi" w:hAnsiTheme="majorHAnsi"/>
                <w:b/>
                <w:bCs/>
              </w:rPr>
            </w:pPr>
            <w:r w:rsidRPr="001E255F">
              <w:rPr>
                <w:rFonts w:asciiTheme="majorHAnsi" w:eastAsia="Times" w:hAnsiTheme="majorHAnsi"/>
              </w:rPr>
              <w:t xml:space="preserve">86631, 86632, 87110, 87270, 87490, 87491, and 87800 </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Contraceptive Methods</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A4261, A4264, A4266, and A4268</w:t>
            </w:r>
          </w:p>
          <w:p w:rsidR="00C719C8" w:rsidRPr="00CE7BF5" w:rsidRDefault="00C719C8" w:rsidP="009A3EAF">
            <w:pPr>
              <w:numPr>
                <w:ilvl w:val="2"/>
                <w:numId w:val="4"/>
              </w:numPr>
              <w:rPr>
                <w:rFonts w:asciiTheme="majorHAnsi" w:eastAsia="Times" w:hAnsiTheme="majorHAnsi"/>
              </w:rPr>
            </w:pPr>
            <w:r w:rsidRPr="001E255F">
              <w:rPr>
                <w:rFonts w:asciiTheme="majorHAnsi" w:eastAsia="Times" w:hAnsiTheme="majorHAnsi"/>
              </w:rPr>
              <w:t>J7297, J7298, J1050, J7300</w:t>
            </w:r>
            <w:r>
              <w:rPr>
                <w:rFonts w:asciiTheme="majorHAnsi" w:eastAsia="Times" w:hAnsiTheme="majorHAnsi"/>
              </w:rPr>
              <w:t xml:space="preserve">, J7301, J7303, J7304, J7306, and </w:t>
            </w:r>
            <w:r w:rsidRPr="001E255F">
              <w:rPr>
                <w:rFonts w:asciiTheme="majorHAnsi" w:eastAsia="Times" w:hAnsiTheme="majorHAnsi"/>
              </w:rPr>
              <w:t>J7307</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S4981, S4989, and S4993</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11976, 11980-11983, 57170, 58300, 58301, 58565, 58600, 58605, 58611, 58615, 58661, 58671, and 96372</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Diabetes Screening</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82947 and 83036</w:t>
            </w:r>
          </w:p>
        </w:tc>
      </w:tr>
      <w:tr w:rsidR="00C719C8" w:rsidRPr="001E255F" w:rsidTr="009A3EAF">
        <w:tc>
          <w:tcPr>
            <w:tcW w:w="8460" w:type="dxa"/>
            <w:vAlign w:val="bottom"/>
          </w:tcPr>
          <w:p w:rsidR="00C719C8" w:rsidRPr="001E255F" w:rsidRDefault="00C719C8" w:rsidP="009A3EAF">
            <w:pPr>
              <w:rPr>
                <w:rFonts w:asciiTheme="majorHAnsi" w:hAnsiTheme="majorHAnsi"/>
                <w:b/>
                <w:bCs/>
              </w:rPr>
            </w:pPr>
            <w:r w:rsidRPr="001E255F">
              <w:rPr>
                <w:rFonts w:asciiTheme="majorHAnsi" w:hAnsiTheme="majorHAnsi"/>
                <w:b/>
                <w:bCs/>
              </w:rPr>
              <w:t>DXA Scan</w:t>
            </w:r>
          </w:p>
          <w:p w:rsidR="00C719C8" w:rsidRPr="001E255F" w:rsidRDefault="00C719C8" w:rsidP="009A3EAF">
            <w:pPr>
              <w:pStyle w:val="ListParagraph"/>
              <w:numPr>
                <w:ilvl w:val="2"/>
                <w:numId w:val="4"/>
              </w:numPr>
              <w:rPr>
                <w:rFonts w:asciiTheme="majorHAnsi" w:hAnsiTheme="majorHAnsi"/>
                <w:b/>
                <w:bCs/>
              </w:rPr>
            </w:pPr>
            <w:r w:rsidRPr="001E255F">
              <w:rPr>
                <w:rFonts w:asciiTheme="majorHAnsi" w:eastAsia="Times" w:hAnsiTheme="majorHAnsi"/>
              </w:rPr>
              <w:t>77080</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rPr>
            </w:pPr>
            <w:r w:rsidRPr="001E255F">
              <w:rPr>
                <w:rFonts w:asciiTheme="majorHAnsi" w:hAnsiTheme="majorHAnsi"/>
                <w:b/>
              </w:rPr>
              <w:t>Global OB-Covered Well-Woman Visits</w:t>
            </w:r>
          </w:p>
          <w:p w:rsidR="00C719C8" w:rsidRPr="001E255F" w:rsidRDefault="00C719C8" w:rsidP="009A3EAF">
            <w:pPr>
              <w:pStyle w:val="ListParagraph"/>
              <w:numPr>
                <w:ilvl w:val="2"/>
                <w:numId w:val="4"/>
              </w:numPr>
              <w:rPr>
                <w:rFonts w:asciiTheme="majorHAnsi" w:hAnsiTheme="majorHAnsi"/>
                <w:b/>
                <w:bCs/>
              </w:rPr>
            </w:pPr>
            <w:r w:rsidRPr="001E255F">
              <w:rPr>
                <w:rFonts w:asciiTheme="majorHAnsi" w:hAnsiTheme="majorHAnsi"/>
              </w:rPr>
              <w:t>59400, 59425, 59426, 59430, 59510, 59610, 59614, 59618, and 59622</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Glucose Screening</w:t>
            </w:r>
          </w:p>
          <w:p w:rsidR="00C719C8" w:rsidRPr="001E255F" w:rsidRDefault="00C719C8" w:rsidP="009A3EAF">
            <w:pPr>
              <w:pStyle w:val="ListParagraph"/>
              <w:numPr>
                <w:ilvl w:val="2"/>
                <w:numId w:val="4"/>
              </w:numPr>
              <w:rPr>
                <w:rFonts w:asciiTheme="majorHAnsi" w:hAnsiTheme="majorHAnsi"/>
                <w:b/>
              </w:rPr>
            </w:pPr>
            <w:r w:rsidRPr="001E255F">
              <w:rPr>
                <w:rFonts w:asciiTheme="majorHAnsi" w:eastAsia="Times" w:hAnsiTheme="majorHAnsi"/>
              </w:rPr>
              <w:t xml:space="preserve">82950 and 82951 </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Gonorrhea Screening</w:t>
            </w:r>
          </w:p>
          <w:p w:rsidR="00C719C8" w:rsidRPr="001E255F" w:rsidRDefault="00C719C8" w:rsidP="009A3EAF">
            <w:pPr>
              <w:pStyle w:val="ListParagraph"/>
              <w:numPr>
                <w:ilvl w:val="2"/>
                <w:numId w:val="4"/>
              </w:numPr>
              <w:rPr>
                <w:rFonts w:asciiTheme="majorHAnsi" w:hAnsiTheme="majorHAnsi"/>
                <w:b/>
                <w:bCs/>
              </w:rPr>
            </w:pPr>
            <w:r w:rsidRPr="001E255F">
              <w:rPr>
                <w:rFonts w:asciiTheme="majorHAnsi" w:eastAsia="Times" w:hAnsiTheme="majorHAnsi"/>
              </w:rPr>
              <w:t xml:space="preserve">87850, 87590, and 87591 </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Hepatitis B Virus Infection Screening for Pregnant Female</w:t>
            </w:r>
          </w:p>
          <w:p w:rsidR="00C719C8" w:rsidRPr="001E255F" w:rsidRDefault="00C719C8" w:rsidP="009A3EAF">
            <w:pPr>
              <w:pStyle w:val="ListParagraph"/>
              <w:numPr>
                <w:ilvl w:val="2"/>
                <w:numId w:val="4"/>
              </w:numPr>
              <w:rPr>
                <w:rFonts w:asciiTheme="majorHAnsi" w:hAnsiTheme="majorHAnsi"/>
                <w:b/>
                <w:bCs/>
              </w:rPr>
            </w:pPr>
            <w:r w:rsidRPr="001E255F">
              <w:rPr>
                <w:rFonts w:asciiTheme="majorHAnsi" w:eastAsia="Times" w:hAnsiTheme="majorHAnsi"/>
              </w:rPr>
              <w:t xml:space="preserve">87340 </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Hepatitis C Screening</w:t>
            </w:r>
          </w:p>
          <w:p w:rsidR="00C719C8" w:rsidRPr="001E255F" w:rsidRDefault="00C719C8" w:rsidP="009A3EAF">
            <w:pPr>
              <w:pStyle w:val="ListParagraph"/>
              <w:numPr>
                <w:ilvl w:val="2"/>
                <w:numId w:val="4"/>
              </w:numPr>
              <w:rPr>
                <w:rFonts w:asciiTheme="majorHAnsi" w:hAnsiTheme="majorHAnsi"/>
                <w:b/>
                <w:bCs/>
              </w:rPr>
            </w:pPr>
            <w:r w:rsidRPr="001E255F">
              <w:rPr>
                <w:rFonts w:asciiTheme="majorHAnsi" w:eastAsia="Times" w:hAnsiTheme="majorHAnsi"/>
              </w:rPr>
              <w:t>86803</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HIV Screening and Counseling</w:t>
            </w:r>
          </w:p>
          <w:p w:rsidR="00C719C8" w:rsidRPr="001E255F" w:rsidRDefault="00C719C8" w:rsidP="009A3EAF">
            <w:pPr>
              <w:pStyle w:val="ListParagraph"/>
              <w:numPr>
                <w:ilvl w:val="2"/>
                <w:numId w:val="4"/>
              </w:numPr>
              <w:rPr>
                <w:rFonts w:asciiTheme="majorHAnsi" w:hAnsiTheme="majorHAnsi"/>
                <w:b/>
                <w:bCs/>
              </w:rPr>
            </w:pPr>
            <w:r w:rsidRPr="001E255F">
              <w:rPr>
                <w:rFonts w:asciiTheme="majorHAnsi" w:eastAsia="Times" w:hAnsiTheme="majorHAnsi"/>
              </w:rPr>
              <w:t>86689, 86701-86703, 87390, and 87534-87536</w:t>
            </w:r>
          </w:p>
          <w:p w:rsidR="00C719C8" w:rsidRPr="001E255F" w:rsidRDefault="00C719C8" w:rsidP="009A3EAF">
            <w:pPr>
              <w:pStyle w:val="ListParagraph"/>
              <w:numPr>
                <w:ilvl w:val="2"/>
                <w:numId w:val="4"/>
              </w:numPr>
              <w:rPr>
                <w:rFonts w:asciiTheme="majorHAnsi" w:hAnsiTheme="majorHAnsi"/>
                <w:b/>
                <w:bCs/>
              </w:rPr>
            </w:pPr>
            <w:r w:rsidRPr="001E255F">
              <w:rPr>
                <w:rFonts w:asciiTheme="majorHAnsi" w:eastAsia="Times" w:hAnsiTheme="majorHAnsi"/>
              </w:rPr>
              <w:t>G0432-G0435</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HPV DNA Testing</w:t>
            </w:r>
          </w:p>
          <w:p w:rsidR="00C719C8" w:rsidRPr="001E255F" w:rsidRDefault="00C719C8" w:rsidP="00515635">
            <w:pPr>
              <w:pStyle w:val="ListParagraph"/>
              <w:numPr>
                <w:ilvl w:val="0"/>
                <w:numId w:val="20"/>
              </w:numPr>
              <w:rPr>
                <w:rFonts w:asciiTheme="majorHAnsi" w:hAnsiTheme="majorHAnsi"/>
                <w:b/>
                <w:bCs/>
              </w:rPr>
            </w:pPr>
            <w:r w:rsidRPr="001E255F">
              <w:rPr>
                <w:rFonts w:asciiTheme="majorHAnsi" w:eastAsia="Times" w:hAnsiTheme="majorHAnsi"/>
              </w:rPr>
              <w:t>87620-87625</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Iron Deficiency Anemia Screening</w:t>
            </w:r>
          </w:p>
          <w:p w:rsidR="00C719C8" w:rsidRPr="001E255F" w:rsidRDefault="00C719C8" w:rsidP="00515635">
            <w:pPr>
              <w:pStyle w:val="ListParagraph"/>
              <w:numPr>
                <w:ilvl w:val="0"/>
                <w:numId w:val="20"/>
              </w:numPr>
              <w:rPr>
                <w:rFonts w:asciiTheme="majorHAnsi" w:hAnsiTheme="majorHAnsi"/>
                <w:b/>
                <w:bCs/>
              </w:rPr>
            </w:pPr>
            <w:r w:rsidRPr="001E255F">
              <w:rPr>
                <w:rFonts w:asciiTheme="majorHAnsi" w:eastAsia="Times" w:hAnsiTheme="majorHAnsi"/>
              </w:rPr>
              <w:t xml:space="preserve">80055, 85013, 85014, 85018, 85025, and 85027 </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Rh(D) Incompatibility Screening in Pregnant Female</w:t>
            </w:r>
          </w:p>
          <w:p w:rsidR="00C719C8" w:rsidRPr="001E255F" w:rsidRDefault="00C719C8" w:rsidP="00515635">
            <w:pPr>
              <w:pStyle w:val="ListParagraph"/>
              <w:numPr>
                <w:ilvl w:val="0"/>
                <w:numId w:val="20"/>
              </w:numPr>
              <w:rPr>
                <w:rFonts w:asciiTheme="majorHAnsi" w:hAnsiTheme="majorHAnsi"/>
                <w:b/>
                <w:bCs/>
              </w:rPr>
            </w:pPr>
            <w:r w:rsidRPr="001E255F">
              <w:rPr>
                <w:rFonts w:asciiTheme="majorHAnsi" w:eastAsia="Times" w:hAnsiTheme="majorHAnsi"/>
              </w:rPr>
              <w:t xml:space="preserve">86901 </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STI Counseling</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86593, 86695, and 86696</w:t>
            </w:r>
          </w:p>
          <w:p w:rsidR="00C719C8" w:rsidRPr="001E255F" w:rsidRDefault="00C719C8" w:rsidP="009A3EAF">
            <w:pPr>
              <w:numPr>
                <w:ilvl w:val="2"/>
                <w:numId w:val="4"/>
              </w:numPr>
              <w:rPr>
                <w:rFonts w:asciiTheme="majorHAnsi" w:eastAsia="Times" w:hAnsiTheme="majorHAnsi"/>
              </w:rPr>
            </w:pPr>
            <w:r w:rsidRPr="001E255F">
              <w:rPr>
                <w:rFonts w:asciiTheme="majorHAnsi" w:eastAsia="Times" w:hAnsiTheme="majorHAnsi"/>
              </w:rPr>
              <w:t xml:space="preserve">G0445 </w:t>
            </w:r>
          </w:p>
        </w:tc>
      </w:tr>
      <w:tr w:rsidR="00C719C8" w:rsidRPr="001E255F" w:rsidTr="009A3EAF">
        <w:tc>
          <w:tcPr>
            <w:tcW w:w="8460" w:type="dxa"/>
            <w:shd w:val="clear" w:color="auto" w:fill="auto"/>
            <w:vAlign w:val="bottom"/>
          </w:tcPr>
          <w:p w:rsidR="00C719C8" w:rsidRPr="001E255F" w:rsidRDefault="00C719C8" w:rsidP="009A3EAF">
            <w:pPr>
              <w:rPr>
                <w:rFonts w:asciiTheme="majorHAnsi" w:hAnsiTheme="majorHAnsi"/>
                <w:b/>
                <w:bCs/>
              </w:rPr>
            </w:pPr>
            <w:r w:rsidRPr="001E255F">
              <w:rPr>
                <w:rFonts w:asciiTheme="majorHAnsi" w:hAnsiTheme="majorHAnsi"/>
                <w:b/>
                <w:bCs/>
              </w:rPr>
              <w:t>Syphilis Infection Screening</w:t>
            </w:r>
          </w:p>
          <w:p w:rsidR="00C719C8" w:rsidRPr="001E255F" w:rsidRDefault="00C719C8" w:rsidP="00515635">
            <w:pPr>
              <w:pStyle w:val="ListParagraph"/>
              <w:numPr>
                <w:ilvl w:val="0"/>
                <w:numId w:val="21"/>
              </w:numPr>
              <w:rPr>
                <w:rFonts w:asciiTheme="majorHAnsi" w:hAnsiTheme="majorHAnsi"/>
                <w:b/>
                <w:bCs/>
              </w:rPr>
            </w:pPr>
            <w:r w:rsidRPr="001E255F">
              <w:rPr>
                <w:rFonts w:asciiTheme="majorHAnsi" w:eastAsia="Times" w:hAnsiTheme="majorHAnsi"/>
              </w:rPr>
              <w:t>86592 and 86780</w:t>
            </w:r>
          </w:p>
        </w:tc>
      </w:tr>
      <w:tr w:rsidR="00C719C8" w:rsidRPr="001E255F" w:rsidTr="009A3EAF">
        <w:tc>
          <w:tcPr>
            <w:tcW w:w="8460" w:type="dxa"/>
            <w:vAlign w:val="bottom"/>
          </w:tcPr>
          <w:p w:rsidR="00C719C8" w:rsidRPr="001E255F" w:rsidRDefault="00C719C8" w:rsidP="009A3EAF">
            <w:pPr>
              <w:rPr>
                <w:rFonts w:asciiTheme="majorHAnsi" w:hAnsiTheme="majorHAnsi"/>
                <w:b/>
              </w:rPr>
            </w:pPr>
            <w:r w:rsidRPr="001E255F">
              <w:rPr>
                <w:rFonts w:asciiTheme="majorHAnsi" w:hAnsiTheme="majorHAnsi"/>
                <w:b/>
              </w:rPr>
              <w:lastRenderedPageBreak/>
              <w:t>Well-Woman Visits</w:t>
            </w:r>
          </w:p>
          <w:p w:rsidR="00C719C8" w:rsidRPr="001E255F" w:rsidRDefault="00C719C8" w:rsidP="00515635">
            <w:pPr>
              <w:pStyle w:val="ListParagraph"/>
              <w:numPr>
                <w:ilvl w:val="0"/>
                <w:numId w:val="17"/>
              </w:numPr>
              <w:rPr>
                <w:rFonts w:asciiTheme="majorHAnsi" w:hAnsiTheme="majorHAnsi"/>
                <w:b/>
              </w:rPr>
            </w:pPr>
            <w:r w:rsidRPr="001E255F">
              <w:rPr>
                <w:rFonts w:asciiTheme="majorHAnsi" w:hAnsiTheme="majorHAnsi"/>
              </w:rPr>
              <w:t>S0610, S0612, and S0613</w:t>
            </w:r>
          </w:p>
        </w:tc>
      </w:tr>
    </w:tbl>
    <w:p w:rsidR="00C719C8" w:rsidRPr="001E255F" w:rsidRDefault="00C719C8" w:rsidP="00C719C8">
      <w:pPr>
        <w:tabs>
          <w:tab w:val="left" w:pos="2250"/>
          <w:tab w:val="left" w:pos="2970"/>
        </w:tabs>
        <w:rPr>
          <w:rFonts w:asciiTheme="majorHAnsi" w:hAnsiTheme="majorHAnsi"/>
        </w:rPr>
      </w:pPr>
    </w:p>
    <w:p w:rsidR="00C719C8" w:rsidRPr="001E255F" w:rsidRDefault="00C719C8" w:rsidP="00C719C8">
      <w:pPr>
        <w:numPr>
          <w:ilvl w:val="0"/>
          <w:numId w:val="10"/>
        </w:numPr>
        <w:tabs>
          <w:tab w:val="left" w:pos="810"/>
        </w:tabs>
        <w:ind w:left="810" w:hanging="450"/>
        <w:contextualSpacing/>
        <w:rPr>
          <w:rFonts w:asciiTheme="majorHAnsi" w:eastAsia="Times" w:hAnsiTheme="majorHAnsi"/>
        </w:rPr>
      </w:pPr>
      <w:r w:rsidRPr="001E255F">
        <w:rPr>
          <w:rFonts w:asciiTheme="majorHAnsi" w:eastAsia="Times" w:hAnsiTheme="majorHAnsi"/>
        </w:rPr>
        <w:t xml:space="preserve">Assign a member/beneficiary to the practice where s/he had the greatest number of qualifying claims.  A practice shall be identified by the NPIs of the individual providers associated with it. </w:t>
      </w:r>
    </w:p>
    <w:p w:rsidR="00C719C8" w:rsidRPr="001E255F" w:rsidRDefault="00C719C8" w:rsidP="00C719C8">
      <w:pPr>
        <w:tabs>
          <w:tab w:val="left" w:pos="810"/>
        </w:tabs>
        <w:ind w:left="810" w:hanging="450"/>
        <w:rPr>
          <w:rFonts w:asciiTheme="majorHAnsi" w:eastAsia="Times" w:hAnsiTheme="majorHAnsi"/>
        </w:rPr>
      </w:pPr>
    </w:p>
    <w:p w:rsidR="00C719C8" w:rsidRPr="001E255F" w:rsidRDefault="00C719C8" w:rsidP="00C719C8">
      <w:pPr>
        <w:numPr>
          <w:ilvl w:val="0"/>
          <w:numId w:val="10"/>
        </w:numPr>
        <w:tabs>
          <w:tab w:val="left" w:pos="810"/>
        </w:tabs>
        <w:ind w:left="810" w:hanging="450"/>
        <w:contextualSpacing/>
        <w:rPr>
          <w:rFonts w:asciiTheme="majorHAnsi" w:eastAsia="Times" w:hAnsiTheme="majorHAnsi"/>
        </w:rPr>
      </w:pPr>
      <w:r w:rsidRPr="001E255F">
        <w:rPr>
          <w:rFonts w:asciiTheme="majorHAnsi" w:eastAsia="Times" w:hAnsiTheme="majorHAnsi"/>
        </w:rPr>
        <w:t xml:space="preserve">If a member/beneficiary has an equal number of qualifying visits to more than one practice, assign the member/beneficiary to the one with the most recent visit. </w:t>
      </w:r>
    </w:p>
    <w:p w:rsidR="00C719C8" w:rsidRPr="001E255F" w:rsidRDefault="00C719C8" w:rsidP="00C719C8">
      <w:pPr>
        <w:ind w:left="720"/>
        <w:rPr>
          <w:rFonts w:asciiTheme="majorHAnsi" w:eastAsia="Times" w:hAnsiTheme="majorHAnsi"/>
        </w:rPr>
      </w:pPr>
    </w:p>
    <w:p w:rsidR="00C719C8" w:rsidRPr="001E255F" w:rsidRDefault="00C719C8" w:rsidP="00C719C8">
      <w:pPr>
        <w:numPr>
          <w:ilvl w:val="0"/>
          <w:numId w:val="10"/>
        </w:numPr>
        <w:tabs>
          <w:tab w:val="left" w:pos="810"/>
        </w:tabs>
        <w:ind w:left="810" w:hanging="450"/>
        <w:contextualSpacing/>
        <w:rPr>
          <w:rFonts w:asciiTheme="majorHAnsi" w:eastAsia="Times" w:hAnsiTheme="majorHAnsi"/>
        </w:rPr>
      </w:pPr>
      <w:r w:rsidRPr="001E255F">
        <w:rPr>
          <w:rFonts w:asciiTheme="majorHAnsi" w:eastAsia="Times" w:hAnsiTheme="majorHAnsi"/>
        </w:rPr>
        <w:t>Insurers can choose to apply elements in addition to 5. and 6. above when conducting their attribution.  However, at a minimum use the greatest number of claims (5. above), followed by the most recent claim if there is a tie (6. above).</w:t>
      </w:r>
    </w:p>
    <w:p w:rsidR="00C719C8" w:rsidRPr="001E255F" w:rsidRDefault="00C719C8" w:rsidP="00C719C8">
      <w:pPr>
        <w:tabs>
          <w:tab w:val="left" w:pos="810"/>
        </w:tabs>
        <w:contextualSpacing/>
        <w:rPr>
          <w:rFonts w:asciiTheme="majorHAnsi" w:eastAsia="Times" w:hAnsiTheme="majorHAnsi"/>
        </w:rPr>
      </w:pPr>
    </w:p>
    <w:p w:rsidR="00C719C8" w:rsidRPr="001E255F" w:rsidRDefault="00C719C8" w:rsidP="00C719C8">
      <w:pPr>
        <w:numPr>
          <w:ilvl w:val="0"/>
          <w:numId w:val="10"/>
        </w:numPr>
        <w:tabs>
          <w:tab w:val="left" w:pos="810"/>
        </w:tabs>
        <w:ind w:left="810" w:hanging="450"/>
        <w:contextualSpacing/>
        <w:rPr>
          <w:rFonts w:asciiTheme="majorHAnsi" w:eastAsia="Times" w:hAnsiTheme="majorHAnsi"/>
        </w:rPr>
      </w:pPr>
      <w:r w:rsidRPr="001E255F">
        <w:rPr>
          <w:rFonts w:asciiTheme="majorHAnsi" w:eastAsia="Times" w:hAnsiTheme="majorHAnsi"/>
        </w:rPr>
        <w:t>Insurers will run their attributions at least quarterly.  Medicaid plans to continue to run their attribution monthly.</w:t>
      </w:r>
    </w:p>
    <w:p w:rsidR="00C719C8" w:rsidRPr="001E255F" w:rsidRDefault="00C719C8" w:rsidP="00C719C8">
      <w:pPr>
        <w:ind w:left="720"/>
        <w:rPr>
          <w:rFonts w:asciiTheme="majorHAnsi" w:eastAsia="Times" w:hAnsiTheme="majorHAnsi"/>
        </w:rPr>
      </w:pPr>
    </w:p>
    <w:p w:rsidR="00C719C8" w:rsidRPr="001E255F" w:rsidRDefault="00C719C8" w:rsidP="00C719C8">
      <w:pPr>
        <w:numPr>
          <w:ilvl w:val="0"/>
          <w:numId w:val="10"/>
        </w:numPr>
        <w:tabs>
          <w:tab w:val="left" w:pos="810"/>
        </w:tabs>
        <w:ind w:left="810" w:hanging="450"/>
        <w:contextualSpacing/>
        <w:rPr>
          <w:rFonts w:asciiTheme="majorHAnsi" w:eastAsia="Times" w:hAnsiTheme="majorHAnsi"/>
        </w:rPr>
      </w:pPr>
      <w:r w:rsidRPr="001E255F">
        <w:rPr>
          <w:rFonts w:asciiTheme="majorHAnsi" w:eastAsia="Times" w:hAnsiTheme="majorHAnsi"/>
        </w:rPr>
        <w:t>Insurers will make PPPM payments at least quarterly, by the 15</w:t>
      </w:r>
      <w:r w:rsidRPr="001E255F">
        <w:rPr>
          <w:rFonts w:asciiTheme="majorHAnsi" w:eastAsia="Times" w:hAnsiTheme="majorHAnsi"/>
          <w:vertAlign w:val="superscript"/>
        </w:rPr>
        <w:t>th</w:t>
      </w:r>
      <w:r w:rsidRPr="001E255F">
        <w:rPr>
          <w:rFonts w:asciiTheme="majorHAnsi" w:eastAsia="Times" w:hAnsiTheme="majorHAnsi"/>
        </w:rPr>
        <w:t xml:space="preserve"> of the second month of the quarter.  Base PPPM payments on the most current PPPM rate that insurers have received from the Blueprint prior to check production.</w:t>
      </w:r>
    </w:p>
    <w:p w:rsidR="00C719C8" w:rsidRPr="001E255F" w:rsidRDefault="00C719C8" w:rsidP="00C719C8">
      <w:pPr>
        <w:tabs>
          <w:tab w:val="left" w:pos="810"/>
        </w:tabs>
        <w:contextualSpacing/>
        <w:rPr>
          <w:rFonts w:asciiTheme="majorHAnsi" w:eastAsia="Times" w:hAnsiTheme="majorHAnsi"/>
        </w:rPr>
      </w:pPr>
    </w:p>
    <w:p w:rsidR="00C719C8" w:rsidRPr="001E255F" w:rsidRDefault="00C719C8" w:rsidP="00C719C8">
      <w:pPr>
        <w:numPr>
          <w:ilvl w:val="0"/>
          <w:numId w:val="10"/>
        </w:numPr>
        <w:tabs>
          <w:tab w:val="left" w:pos="810"/>
        </w:tabs>
        <w:ind w:left="810" w:hanging="450"/>
        <w:contextualSpacing/>
        <w:rPr>
          <w:rFonts w:asciiTheme="majorHAnsi" w:eastAsia="Times" w:hAnsiTheme="majorHAnsi"/>
        </w:rPr>
      </w:pPr>
      <w:r w:rsidRPr="001E255F">
        <w:rPr>
          <w:rFonts w:asciiTheme="majorHAnsi" w:eastAsia="Times" w:hAnsiTheme="majorHAnsi"/>
        </w:rPr>
        <w:t>For insurers paying quarterly: if a new practice goes live in the third month of a quarter, add that practice to the attribution and payment schedule for the subsequent quarter.  Payment would be made for the first month of participation, but it would be based on the attribution for the subsequent quarter and would be included in the subsequent quarter’s payment.  For example, if a practic</w:t>
      </w:r>
      <w:r w:rsidR="00342C76">
        <w:rPr>
          <w:rFonts w:asciiTheme="majorHAnsi" w:eastAsia="Times" w:hAnsiTheme="majorHAnsi"/>
        </w:rPr>
        <w:t>e becomes recognized on 3/1/2016, payment for 3/1/2016 through 6/30/2016 would occur by 5/15/16</w:t>
      </w:r>
      <w:r w:rsidRPr="001E255F">
        <w:rPr>
          <w:rFonts w:asciiTheme="majorHAnsi" w:eastAsia="Times" w:hAnsiTheme="majorHAnsi"/>
        </w:rPr>
        <w:t xml:space="preserve">. </w:t>
      </w:r>
    </w:p>
    <w:p w:rsidR="00C719C8" w:rsidRPr="001E255F" w:rsidRDefault="00C719C8" w:rsidP="00C719C8">
      <w:pPr>
        <w:ind w:left="720"/>
        <w:rPr>
          <w:rFonts w:asciiTheme="majorHAnsi" w:eastAsia="Times" w:hAnsiTheme="majorHAnsi"/>
        </w:rPr>
      </w:pPr>
    </w:p>
    <w:p w:rsidR="00FA140D" w:rsidRDefault="00FA140D">
      <w:pPr>
        <w:rPr>
          <w:b/>
        </w:rPr>
        <w:sectPr w:rsidR="00FA140D" w:rsidSect="00412D3B">
          <w:headerReference w:type="even" r:id="rId31"/>
          <w:headerReference w:type="default" r:id="rId32"/>
          <w:footerReference w:type="default" r:id="rId33"/>
          <w:headerReference w:type="first" r:id="rId34"/>
          <w:pgSz w:w="12240" w:h="15840"/>
          <w:pgMar w:top="1440" w:right="1440" w:bottom="1440" w:left="1440" w:header="720" w:footer="615" w:gutter="0"/>
          <w:cols w:space="720"/>
        </w:sectPr>
      </w:pPr>
      <w:r>
        <w:rPr>
          <w:b/>
        </w:rPr>
        <w:br/>
      </w:r>
    </w:p>
    <w:p w:rsidR="00AB106F" w:rsidRPr="00FA140D" w:rsidRDefault="004D5ACF" w:rsidP="00FA140D">
      <w:pPr>
        <w:jc w:val="center"/>
        <w:rPr>
          <w:b/>
          <w:sz w:val="28"/>
        </w:rPr>
      </w:pPr>
      <w:r w:rsidRPr="00FA140D">
        <w:rPr>
          <w:b/>
          <w:sz w:val="28"/>
        </w:rPr>
        <w:lastRenderedPageBreak/>
        <w:t>APPENDIX 8</w:t>
      </w:r>
    </w:p>
    <w:p w:rsidR="00FA140D" w:rsidRPr="00FA140D" w:rsidRDefault="00FA140D" w:rsidP="00FA140D">
      <w:pPr>
        <w:spacing w:after="160" w:line="259" w:lineRule="auto"/>
        <w:jc w:val="center"/>
        <w:rPr>
          <w:rFonts w:ascii="Calibri" w:eastAsia="Calibri" w:hAnsi="Calibri"/>
          <w:color w:val="000000"/>
          <w:sz w:val="28"/>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rFonts w:ascii="Calibri" w:eastAsia="Calibri" w:hAnsi="Calibri"/>
          <w:color w:val="000000"/>
          <w:sz w:val="28"/>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Health Service Areas by Town Names</w:t>
      </w:r>
    </w:p>
    <w:tbl>
      <w:tblPr>
        <w:tblStyle w:val="TableGrid2"/>
        <w:tblW w:w="0" w:type="auto"/>
        <w:tblLook w:val="04A0" w:firstRow="1" w:lastRow="0" w:firstColumn="1" w:lastColumn="0" w:noHBand="0" w:noVBand="1"/>
      </w:tblPr>
      <w:tblGrid>
        <w:gridCol w:w="1894"/>
        <w:gridCol w:w="1838"/>
        <w:gridCol w:w="1859"/>
        <w:gridCol w:w="1826"/>
        <w:gridCol w:w="1808"/>
        <w:gridCol w:w="1843"/>
        <w:gridCol w:w="1882"/>
      </w:tblGrid>
      <w:tr w:rsidR="00FA140D" w:rsidRPr="00FA140D" w:rsidTr="00FA140D">
        <w:tc>
          <w:tcPr>
            <w:tcW w:w="1894"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Barre</w:t>
            </w:r>
          </w:p>
        </w:tc>
        <w:tc>
          <w:tcPr>
            <w:tcW w:w="1838"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Bennington</w:t>
            </w:r>
          </w:p>
        </w:tc>
        <w:tc>
          <w:tcPr>
            <w:tcW w:w="1859"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Brattleboro</w:t>
            </w:r>
          </w:p>
        </w:tc>
        <w:tc>
          <w:tcPr>
            <w:tcW w:w="1826"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Burlington</w:t>
            </w:r>
          </w:p>
        </w:tc>
        <w:tc>
          <w:tcPr>
            <w:tcW w:w="1808"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Middlebury</w:t>
            </w:r>
          </w:p>
        </w:tc>
        <w:tc>
          <w:tcPr>
            <w:tcW w:w="1843"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Morrisville</w:t>
            </w:r>
          </w:p>
        </w:tc>
        <w:tc>
          <w:tcPr>
            <w:tcW w:w="1882"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Newport</w:t>
            </w:r>
          </w:p>
        </w:tc>
      </w:tr>
      <w:tr w:rsidR="00FA140D" w:rsidRPr="00FA140D" w:rsidTr="00FA140D">
        <w:tc>
          <w:tcPr>
            <w:tcW w:w="1894"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BARRE CITY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BARRE TOWN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BERLIN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BOLTON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CABOT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CALAIS</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DUXBURY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EAST MONTPELIER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FAYSTON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MARSHFIELD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MIDDLESEX</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MONTPELIER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MORETOWN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NORTHFIELD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PLAINFIELD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ROXBURY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WAITSFIELD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WARREN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WASHINGTON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WATERBURY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WILLIAMSTOWN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WOODBURY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WORCESTER</w:t>
            </w:r>
          </w:p>
        </w:tc>
        <w:tc>
          <w:tcPr>
            <w:tcW w:w="1838"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ARLINGTON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BENNINGTON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DORSET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DOVER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GLASTENBURY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MANCHESTER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POWNAL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READSBORO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RUPERT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SANDGATE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SEARSBURG</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SHAFTSBURY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SOMERSET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STAMFORD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SUNDERLAND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WHITINGHAM</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WILMINGTON</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WOODFORD</w:t>
            </w:r>
          </w:p>
        </w:tc>
        <w:tc>
          <w:tcPr>
            <w:tcW w:w="1859"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BRATTLEBORO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BROOKLINE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DUMMERSTON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GUILFORD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HALIFAX</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JAMAICA</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MARLBORO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NEWFANE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PUTNEY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STRATTON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TOWNSHEND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VERNON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WARDSBORO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WESTMINSTER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WINDHAM</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WINHALL</w:t>
            </w:r>
          </w:p>
        </w:tc>
        <w:tc>
          <w:tcPr>
            <w:tcW w:w="1826"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BUELS GORE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BURLINGTON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CHARLOTTE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COLCHESTER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ESSEX</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FERRISBURGH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FLETCHER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GRAND ISLE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HINESBURG</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HUNTINGTON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JERICHO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MILTON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MONKTON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NORTH HERO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RICHMOND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SHELBURNE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SOUTH BURLINGTON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SOUTH HERO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 GEORGE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STARKSBORO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UNDERHILL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WILLISTON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WINOOSKI</w:t>
            </w:r>
          </w:p>
        </w:tc>
        <w:tc>
          <w:tcPr>
            <w:tcW w:w="1808"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ADDISON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BRIDPORT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BRISTOL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CORNWALL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LINCOLN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MIDDLEBURY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 HAVEN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ORWELL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PANTON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RIPTON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SALISBURY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SHOREHAM</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VERGENNES</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WALTHAM</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WEYBRIDGE</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WHITING</w:t>
            </w:r>
          </w:p>
        </w:tc>
        <w:tc>
          <w:tcPr>
            <w:tcW w:w="1843"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CAMBRIDGE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BELVIDERE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CRAFTSBURY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EDEN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ELMORE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GREENSBORO</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HARDWICK</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HYDE PARK</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JOHNSON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MORRISTOWN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STANNARD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STOWE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WATERVILLE</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WOLCOTT</w:t>
            </w:r>
          </w:p>
        </w:tc>
        <w:tc>
          <w:tcPr>
            <w:tcW w:w="1882"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ALBANY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AVERILL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AVERYS GORE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BLOOMFIELD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BRIGHTON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BROWNINGTON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BRUNSWICK</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CANAAN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CHARLESTON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COVENTRY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DERBY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FERDINAND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GLOVER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HOLLAND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IRASBURG</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JAY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LEMINGTON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LEWIS</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LOWELL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MORGAN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NEWPORT CITY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NEWPORT TOWN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NORTON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TROY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WARNERS GRANT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WARREN GORE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WESTFIELD</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WESTMORE</w:t>
            </w:r>
          </w:p>
        </w:tc>
      </w:tr>
    </w:tbl>
    <w:p w:rsidR="00FA140D" w:rsidRPr="00FA140D" w:rsidRDefault="00FA140D" w:rsidP="00FA140D">
      <w:pPr>
        <w:spacing w:after="160" w:line="259" w:lineRule="auto"/>
        <w:jc w:val="center"/>
        <w:rPr>
          <w:rFonts w:ascii="Calibri" w:eastAsia="Calibri" w:hAnsi="Calibri"/>
          <w:color w:val="000000"/>
          <w:sz w:val="28"/>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rFonts w:ascii="Calibri" w:eastAsia="Calibri" w:hAnsi="Calibri"/>
          <w:color w:val="000000"/>
          <w:sz w:val="28"/>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Health Service Areas by Town Names</w:t>
      </w:r>
    </w:p>
    <w:tbl>
      <w:tblPr>
        <w:tblStyle w:val="TableGrid2"/>
        <w:tblpPr w:leftFromText="180" w:rightFromText="180" w:vertAnchor="text" w:horzAnchor="margin" w:tblpY="-44"/>
        <w:tblW w:w="0" w:type="auto"/>
        <w:tblLook w:val="04A0" w:firstRow="1" w:lastRow="0" w:firstColumn="1" w:lastColumn="0" w:noHBand="0" w:noVBand="1"/>
      </w:tblPr>
      <w:tblGrid>
        <w:gridCol w:w="2145"/>
        <w:gridCol w:w="2161"/>
        <w:gridCol w:w="2169"/>
        <w:gridCol w:w="2127"/>
        <w:gridCol w:w="2188"/>
        <w:gridCol w:w="2160"/>
      </w:tblGrid>
      <w:tr w:rsidR="00FA140D" w:rsidRPr="00FA140D" w:rsidTr="00FA140D">
        <w:tc>
          <w:tcPr>
            <w:tcW w:w="2145"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Randolph</w:t>
            </w:r>
          </w:p>
        </w:tc>
        <w:tc>
          <w:tcPr>
            <w:tcW w:w="2161"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Rutland</w:t>
            </w:r>
          </w:p>
        </w:tc>
        <w:tc>
          <w:tcPr>
            <w:tcW w:w="2169"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 Albans</w:t>
            </w:r>
          </w:p>
        </w:tc>
        <w:tc>
          <w:tcPr>
            <w:tcW w:w="2127"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 Johnsbury</w:t>
            </w:r>
          </w:p>
        </w:tc>
        <w:tc>
          <w:tcPr>
            <w:tcW w:w="2188"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Springfield</w:t>
            </w:r>
          </w:p>
        </w:tc>
        <w:tc>
          <w:tcPr>
            <w:tcW w:w="2160" w:type="dxa"/>
            <w:shd w:val="clear" w:color="auto" w:fill="BDD6EE"/>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Windsor</w:t>
            </w:r>
          </w:p>
        </w:tc>
      </w:tr>
      <w:tr w:rsidR="00FA140D" w:rsidRPr="00FA140D" w:rsidTr="00FA140D">
        <w:tc>
          <w:tcPr>
            <w:tcW w:w="2145"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BARNARD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BETHEL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BRAINTREE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BROOKFIELD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CHELSEA</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GRANVILLE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HANCOCK</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PITTSFIELD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RANDOLPH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ROCHESTER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STOCKBRIDGE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HARTFORD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NORWICH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POMFRET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ROYALTON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SHARON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STRAFFORD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TUNBRIDGE</w:t>
            </w:r>
          </w:p>
        </w:tc>
        <w:tc>
          <w:tcPr>
            <w:tcW w:w="2161"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BENSON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BRANDON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CASTLETON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CHITTENDEN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CLARENDON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DANBY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FAIR HAVEN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GOSHEN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HUBBARDTON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IRA</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KILLINGTON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LEICESTER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MENDON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MIDDLETOWN SPRINGS</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MOUNT HOLLY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MOUNT TABOR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PAWLET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PITTSFORD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POULTNEY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PROCTOR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RUTLAND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RUTLAND CITY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SHREWSBURY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SUDBURY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TINMOUTH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WALLINGFORD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WELLS</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 HAVEN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 RUTLAND</w:t>
            </w:r>
          </w:p>
        </w:tc>
        <w:tc>
          <w:tcPr>
            <w:tcW w:w="2169"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FAIRFAX</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ALBURGH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BAKERSFIELD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BERKSHIRE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ENOSBURG</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FAIRFIELD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FRANKLIN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GEORGIA</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HIGHGATE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ISLE LA MOTTE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MONTGOMERY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RICHFORD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SHELDON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 ALBANS CITY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 ALBANS TOWN</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SWANTON</w:t>
            </w:r>
          </w:p>
        </w:tc>
        <w:tc>
          <w:tcPr>
            <w:tcW w:w="2127"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BARNET</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BURKE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CONCORD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DANVILLE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EAST HAVEN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GRANBY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GUILDHALL</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KIRBY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LUNENBURG</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LYNDON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MAIDSTONE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NEWARK</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SHEFFIELD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 JOHNSBURY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SUTTON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VICTORY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WALDEN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WATERFORD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WHEELOCK</w:t>
            </w:r>
          </w:p>
        </w:tc>
        <w:tc>
          <w:tcPr>
            <w:tcW w:w="2188"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ANDOVER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ATHENS</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BALTIMORE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CAVENDISH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CHESTER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GRAFTON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LANDGROVE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LONDONDERRY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LUDLOW</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PERU</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ROCKINGHAM</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SPRINGFIELD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WEATHERSFIELD</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WESTON</w:t>
            </w:r>
          </w:p>
        </w:tc>
        <w:tc>
          <w:tcPr>
            <w:tcW w:w="2160" w:type="dxa"/>
          </w:tcPr>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ORANGE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TOPSHAM</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BRADFORD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CORINTH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FAIRLEE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GROTON</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NEWBURY</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PEACHAM</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RYEGATE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THETFORD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VERSHIRE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 FAIRLEE</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BRIDGEWATER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HARTLAND</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PLYMOUTH</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READING</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WEST WINDSOR</w:t>
            </w:r>
          </w:p>
          <w:p w:rsidR="00FA140D" w:rsidRPr="00FA140D" w:rsidRDefault="00FA140D" w:rsidP="00FA140D">
            <w:pPr>
              <w:jc w:val="center"/>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WINDSOR</w:t>
            </w:r>
          </w:p>
          <w:p w:rsidR="00FA140D" w:rsidRPr="00FA140D" w:rsidRDefault="00FA140D" w:rsidP="00FA140D">
            <w:pPr>
              <w:jc w:val="center"/>
              <w:rPr>
                <w:color w:val="000000"/>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A140D">
              <w:rPr>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WOODSTOCK</w:t>
            </w:r>
          </w:p>
        </w:tc>
      </w:tr>
    </w:tbl>
    <w:p w:rsidR="004D5ACF" w:rsidRPr="004D5ACF" w:rsidRDefault="004D5ACF" w:rsidP="00356D6A"/>
    <w:sectPr w:rsidR="004D5ACF" w:rsidRPr="004D5ACF" w:rsidSect="00FA140D">
      <w:pgSz w:w="15840" w:h="12240" w:orient="landscape"/>
      <w:pgMar w:top="1440" w:right="1440" w:bottom="1440" w:left="1440" w:header="720" w:footer="6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66" w:rsidRDefault="00AE3066">
      <w:r>
        <w:separator/>
      </w:r>
    </w:p>
  </w:endnote>
  <w:endnote w:type="continuationSeparator" w:id="0">
    <w:p w:rsidR="00AE3066" w:rsidRDefault="00AE3066">
      <w:r>
        <w:continuationSeparator/>
      </w:r>
    </w:p>
  </w:endnote>
  <w:endnote w:type="continuationNotice" w:id="1">
    <w:p w:rsidR="00AE3066" w:rsidRDefault="00AE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Footer"/>
      <w:jc w:val="center"/>
    </w:pPr>
    <w:r>
      <w:t>Vermont Blueprint for Health Manual</w:t>
    </w:r>
    <w:r>
      <w:tab/>
    </w:r>
    <w:r>
      <w:tab/>
    </w:r>
    <w:sdt>
      <w:sdtPr>
        <w:id w:val="130138858"/>
        <w:docPartObj>
          <w:docPartGallery w:val="Page Numbers (Top of Page)"/>
          <w:docPartUnique/>
        </w:docPartObj>
      </w:sdtPr>
      <w:sdtEndPr/>
      <w:sdtContent>
        <w:r w:rsidRPr="00152B7E">
          <w:t xml:space="preserve">Page </w:t>
        </w:r>
        <w:r w:rsidRPr="00152B7E">
          <w:rPr>
            <w:bCs/>
          </w:rPr>
          <w:fldChar w:fldCharType="begin"/>
        </w:r>
        <w:r w:rsidRPr="00152B7E">
          <w:rPr>
            <w:bCs/>
          </w:rPr>
          <w:instrText xml:space="preserve"> PAGE </w:instrText>
        </w:r>
        <w:r w:rsidRPr="00152B7E">
          <w:rPr>
            <w:bCs/>
          </w:rPr>
          <w:fldChar w:fldCharType="separate"/>
        </w:r>
        <w:r w:rsidR="00E264E7">
          <w:rPr>
            <w:bCs/>
            <w:noProof/>
          </w:rPr>
          <w:t>1</w:t>
        </w:r>
        <w:r w:rsidRPr="00152B7E">
          <w:rPr>
            <w:bCs/>
          </w:rPr>
          <w:fldChar w:fldCharType="end"/>
        </w:r>
        <w:r w:rsidRPr="00152B7E">
          <w:t xml:space="preserve"> of </w:t>
        </w:r>
        <w:r w:rsidRPr="00152B7E">
          <w:rPr>
            <w:bCs/>
          </w:rPr>
          <w:fldChar w:fldCharType="begin"/>
        </w:r>
        <w:r w:rsidRPr="00152B7E">
          <w:rPr>
            <w:bCs/>
          </w:rPr>
          <w:instrText xml:space="preserve"> NUMPAGES  </w:instrText>
        </w:r>
        <w:r w:rsidRPr="00152B7E">
          <w:rPr>
            <w:bCs/>
          </w:rPr>
          <w:fldChar w:fldCharType="separate"/>
        </w:r>
        <w:r w:rsidR="00E264E7">
          <w:rPr>
            <w:bCs/>
            <w:noProof/>
          </w:rPr>
          <w:t>69</w:t>
        </w:r>
        <w:r w:rsidRPr="00152B7E">
          <w:rPr>
            <w:bCs/>
          </w:rPr>
          <w:fldChar w:fldCharType="end"/>
        </w:r>
      </w:sdtContent>
    </w:sdt>
  </w:p>
  <w:p w:rsidR="00C83FBB" w:rsidRDefault="00C83FBB" w:rsidP="00E86CBC">
    <w:pPr>
      <w:pStyle w:val="Footer"/>
      <w:pBdr>
        <w:between w:val="single" w:sz="4" w:space="1" w:color="auto"/>
      </w:pBdr>
      <w:ind w:left="-720" w:righ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Pr="0068540B" w:rsidRDefault="00C83FBB" w:rsidP="0056297E">
    <w:pPr>
      <w:jc w:val="center"/>
      <w:rPr>
        <w:rFonts w:ascii="Times New Roman" w:hAnsi="Times New Roman"/>
        <w:sz w:val="20"/>
        <w:szCs w:val="20"/>
      </w:rPr>
    </w:pPr>
    <w:r>
      <w:t>Vermont Blueprint for Health Manual</w:t>
    </w:r>
    <w:r>
      <w:tab/>
    </w:r>
    <w:r>
      <w:tab/>
    </w:r>
    <w:r>
      <w:tab/>
    </w:r>
    <w:r>
      <w:tab/>
    </w:r>
    <w:r>
      <w:tab/>
    </w:r>
    <w:sdt>
      <w:sdtPr>
        <w:id w:val="701055363"/>
        <w:docPartObj>
          <w:docPartGallery w:val="Page Numbers (Top of Page)"/>
          <w:docPartUnique/>
        </w:docPartObj>
      </w:sdtPr>
      <w:sdtEndPr/>
      <w:sdtContent>
        <w:r w:rsidRPr="00152B7E">
          <w:t xml:space="preserve">Page </w:t>
        </w:r>
        <w:r w:rsidRPr="00152B7E">
          <w:rPr>
            <w:bCs/>
          </w:rPr>
          <w:fldChar w:fldCharType="begin"/>
        </w:r>
        <w:r w:rsidRPr="00152B7E">
          <w:rPr>
            <w:bCs/>
          </w:rPr>
          <w:instrText xml:space="preserve"> PAGE </w:instrText>
        </w:r>
        <w:r w:rsidRPr="00152B7E">
          <w:rPr>
            <w:bCs/>
          </w:rPr>
          <w:fldChar w:fldCharType="separate"/>
        </w:r>
        <w:r w:rsidR="00E264E7">
          <w:rPr>
            <w:bCs/>
            <w:noProof/>
          </w:rPr>
          <w:t>21</w:t>
        </w:r>
        <w:r w:rsidRPr="00152B7E">
          <w:rPr>
            <w:bCs/>
          </w:rPr>
          <w:fldChar w:fldCharType="end"/>
        </w:r>
        <w:r w:rsidRPr="00152B7E">
          <w:t xml:space="preserve"> of </w:t>
        </w:r>
        <w:r w:rsidRPr="00152B7E">
          <w:rPr>
            <w:bCs/>
          </w:rPr>
          <w:fldChar w:fldCharType="begin"/>
        </w:r>
        <w:r w:rsidRPr="00152B7E">
          <w:rPr>
            <w:bCs/>
          </w:rPr>
          <w:instrText xml:space="preserve"> NUMPAGES  </w:instrText>
        </w:r>
        <w:r w:rsidRPr="00152B7E">
          <w:rPr>
            <w:bCs/>
          </w:rPr>
          <w:fldChar w:fldCharType="separate"/>
        </w:r>
        <w:r w:rsidR="00E264E7">
          <w:rPr>
            <w:bCs/>
            <w:noProof/>
          </w:rPr>
          <w:t>69</w:t>
        </w:r>
        <w:r w:rsidRPr="00152B7E">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66" w:rsidRDefault="00AE3066">
      <w:r>
        <w:separator/>
      </w:r>
    </w:p>
  </w:footnote>
  <w:footnote w:type="continuationSeparator" w:id="0">
    <w:p w:rsidR="00AE3066" w:rsidRDefault="00AE3066">
      <w:r>
        <w:continuationSeparator/>
      </w:r>
    </w:p>
  </w:footnote>
  <w:footnote w:type="continuationNotice" w:id="1">
    <w:p w:rsidR="00AE3066" w:rsidRDefault="00AE3066"/>
  </w:footnote>
  <w:footnote w:id="2">
    <w:p w:rsidR="00C83FBB" w:rsidRPr="00455326" w:rsidRDefault="00C83FBB">
      <w:pPr>
        <w:pStyle w:val="FootnoteText"/>
      </w:pPr>
      <w:r w:rsidRPr="00455326">
        <w:rPr>
          <w:rStyle w:val="FootnoteReference"/>
        </w:rPr>
        <w:footnoteRef/>
      </w:r>
      <w:r w:rsidRPr="00455326">
        <w:t xml:space="preserve"> CHT payments, and by extension the number of full time equivalent (FTE) CHT staff members, have been based on $350,000.00 annually for each population unit of 10,811 payer-claims-attributed Blueprint patients, or an average of $2.70 per payer-claims-attributed patient per month (PPPM). For historical comparison, this is equivalent to a rate of 0.25 FTEs, or $17,500.00 annually, for each population unit of 1,000 practice-reported Blueprint patients, or $1.46 per practice-reported patient per month, given an observed average ratio of practice-reported to payer-claims-attributed patient counts of approximately 1.85 (1.90 for commercial and Medicaid; 1.69 for Medicare) for the period of Calendar Years 2013 through 2014:  $17,500.00 / 12 months / 1,000 patients * 1.85 payment adjustment ratio = $2.70 PPPM.</w:t>
      </w:r>
    </w:p>
  </w:footnote>
  <w:footnote w:id="3">
    <w:p w:rsidR="00C83FBB" w:rsidRDefault="00C83FBB">
      <w:pPr>
        <w:pStyle w:val="FootnoteText"/>
      </w:pPr>
      <w:r w:rsidRPr="00455326">
        <w:rPr>
          <w:rStyle w:val="FootnoteReference"/>
        </w:rPr>
        <w:footnoteRef/>
      </w:r>
      <w:r w:rsidRPr="00455326">
        <w:t xml:space="preserve"> Medicare pays $6.71 PPPM, based on Medicare-claims-based patient attributions, to cover the combined costs of CHT and SASH services.  Against that amount, Medicare's CHT contributions are charged at the rate of $1.46 per practice-reported patient per month, or $2.47 per payer-claims-attributed patient per month, and the remainder is available for SASH panels.</w:t>
      </w:r>
    </w:p>
  </w:footnote>
  <w:footnote w:id="4">
    <w:p w:rsidR="00C83FBB" w:rsidRDefault="00C83FBB">
      <w:pPr>
        <w:pStyle w:val="FootnoteText"/>
      </w:pPr>
      <w:r>
        <w:rPr>
          <w:rStyle w:val="FootnoteReference"/>
        </w:rPr>
        <w:footnoteRef/>
      </w:r>
      <w:r>
        <w:t xml:space="preserve"> In the absence of complete patient-attribution data from insurers broken out at the Blueprint practice level, the Blueprint will use the latest available practice-level patient-attribution counts derived from the Vermont All-Payer-Claims Dataset (VHCURES) to proportionally subdivide insurer CHT payments by HSA.</w:t>
      </w:r>
    </w:p>
  </w:footnote>
  <w:footnote w:id="5">
    <w:p w:rsidR="00C83FBB" w:rsidRPr="00B04C45" w:rsidRDefault="00C83FBB" w:rsidP="001827AF">
      <w:pPr>
        <w:pStyle w:val="FootnoteText"/>
      </w:pPr>
      <w:r w:rsidRPr="00B04C45">
        <w:rPr>
          <w:rStyle w:val="FootnoteReference"/>
        </w:rPr>
        <w:footnoteRef/>
      </w:r>
      <w:r w:rsidRPr="00B04C45">
        <w:t xml:space="preserve"> Supplemental CHT payments, and by extension the number of full time equivalent (FTE) supplemental CHT staff members, </w:t>
      </w:r>
      <w:r>
        <w:t>are intended to be equal to 1 FTE per $78,000 CHT payments based on an average licensed mental health professional yearly salary or 1 FTE per every 1,200 patients.</w:t>
      </w:r>
    </w:p>
    <w:p w:rsidR="00C83FBB" w:rsidRPr="00B04C45" w:rsidRDefault="00C83FBB" w:rsidP="001827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rsidP="001827AF">
    <w:pPr>
      <w:pStyle w:val="Header"/>
    </w:pPr>
    <w:r>
      <w:rPr>
        <w:noProof/>
      </w:rPr>
      <w:drawing>
        <wp:anchor distT="0" distB="0" distL="114300" distR="114300" simplePos="0" relativeHeight="251657216" behindDoc="1" locked="0" layoutInCell="1" allowOverlap="1" wp14:anchorId="42FFEDC4" wp14:editId="6F516200">
          <wp:simplePos x="0" y="0"/>
          <wp:positionH relativeFrom="column">
            <wp:posOffset>-914400</wp:posOffset>
          </wp:positionH>
          <wp:positionV relativeFrom="paragraph">
            <wp:posOffset>-457200</wp:posOffset>
          </wp:positionV>
          <wp:extent cx="7315200"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FBB" w:rsidRDefault="00C83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BB" w:rsidRDefault="00C83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9083F2A"/>
    <w:lvl w:ilvl="0" w:tplc="FFFFFFFF">
      <w:start w:val="1"/>
      <w:numFmt w:val="decimal"/>
      <w:lvlText w:val="%1."/>
      <w:lvlJc w:val="left"/>
      <w:pPr>
        <w:tabs>
          <w:tab w:val="num" w:pos="360"/>
        </w:tabs>
      </w:pPr>
      <w:rPr>
        <w:rFonts w:cs="Times New Roman"/>
      </w:rPr>
    </w:lvl>
    <w:lvl w:ilvl="1" w:tplc="FFFFFFFF">
      <w:start w:val="1"/>
      <w:numFmt w:val="lowerLetter"/>
      <w:lvlText w:val="%2."/>
      <w:lvlJc w:val="left"/>
      <w:pPr>
        <w:tabs>
          <w:tab w:val="num" w:pos="360"/>
        </w:tabs>
      </w:pPr>
      <w:rPr>
        <w:rFonts w:cs="Times New Roman"/>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8F0A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3E7C55"/>
    <w:multiLevelType w:val="hybridMultilevel"/>
    <w:tmpl w:val="5CCE9EF4"/>
    <w:lvl w:ilvl="0" w:tplc="8936436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846"/>
    <w:multiLevelType w:val="hybridMultilevel"/>
    <w:tmpl w:val="3D04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90C09"/>
    <w:multiLevelType w:val="hybridMultilevel"/>
    <w:tmpl w:val="AF8A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A5A9F"/>
    <w:multiLevelType w:val="hybridMultilevel"/>
    <w:tmpl w:val="8DC415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0CF09D1"/>
    <w:multiLevelType w:val="hybridMultilevel"/>
    <w:tmpl w:val="9C0C2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37142"/>
    <w:multiLevelType w:val="hybridMultilevel"/>
    <w:tmpl w:val="6B785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D936A5"/>
    <w:multiLevelType w:val="hybridMultilevel"/>
    <w:tmpl w:val="684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D5BE4"/>
    <w:multiLevelType w:val="hybridMultilevel"/>
    <w:tmpl w:val="05280776"/>
    <w:lvl w:ilvl="0" w:tplc="61D8064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8270F"/>
    <w:multiLevelType w:val="hybridMultilevel"/>
    <w:tmpl w:val="D9F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601B7"/>
    <w:multiLevelType w:val="hybridMultilevel"/>
    <w:tmpl w:val="D5F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F5600"/>
    <w:multiLevelType w:val="hybridMultilevel"/>
    <w:tmpl w:val="1EA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53092"/>
    <w:multiLevelType w:val="hybridMultilevel"/>
    <w:tmpl w:val="888E3528"/>
    <w:lvl w:ilvl="0" w:tplc="E79E5960">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9198C"/>
    <w:multiLevelType w:val="hybridMultilevel"/>
    <w:tmpl w:val="706672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26A83202"/>
    <w:multiLevelType w:val="hybridMultilevel"/>
    <w:tmpl w:val="5156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C284A"/>
    <w:multiLevelType w:val="hybridMultilevel"/>
    <w:tmpl w:val="BC3848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4B0E45"/>
    <w:multiLevelType w:val="hybridMultilevel"/>
    <w:tmpl w:val="5706D8F6"/>
    <w:lvl w:ilvl="0" w:tplc="1116BB0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311FC2"/>
    <w:multiLevelType w:val="hybridMultilevel"/>
    <w:tmpl w:val="34482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AE7F97"/>
    <w:multiLevelType w:val="hybridMultilevel"/>
    <w:tmpl w:val="226E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877F6"/>
    <w:multiLevelType w:val="hybridMultilevel"/>
    <w:tmpl w:val="D9F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B47E4"/>
    <w:multiLevelType w:val="hybridMultilevel"/>
    <w:tmpl w:val="6DF6D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D2824"/>
    <w:multiLevelType w:val="hybridMultilevel"/>
    <w:tmpl w:val="73EA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1C4EA5"/>
    <w:multiLevelType w:val="hybridMultilevel"/>
    <w:tmpl w:val="B2260B84"/>
    <w:lvl w:ilvl="0" w:tplc="FCBAF166">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C6DED"/>
    <w:multiLevelType w:val="hybridMultilevel"/>
    <w:tmpl w:val="F72AA80E"/>
    <w:lvl w:ilvl="0" w:tplc="8936436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76E83"/>
    <w:multiLevelType w:val="multilevel"/>
    <w:tmpl w:val="4CE20C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DFC4035"/>
    <w:multiLevelType w:val="hybridMultilevel"/>
    <w:tmpl w:val="AD96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918A2"/>
    <w:multiLevelType w:val="hybridMultilevel"/>
    <w:tmpl w:val="D7626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921231"/>
    <w:multiLevelType w:val="hybridMultilevel"/>
    <w:tmpl w:val="139CA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AD7528"/>
    <w:multiLevelType w:val="hybridMultilevel"/>
    <w:tmpl w:val="9260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548E9"/>
    <w:multiLevelType w:val="hybridMultilevel"/>
    <w:tmpl w:val="B81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D0CFA"/>
    <w:multiLevelType w:val="hybridMultilevel"/>
    <w:tmpl w:val="E1C0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494B8B"/>
    <w:multiLevelType w:val="hybridMultilevel"/>
    <w:tmpl w:val="D9FA0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F0F84"/>
    <w:multiLevelType w:val="hybridMultilevel"/>
    <w:tmpl w:val="FFDC2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4B435C4"/>
    <w:multiLevelType w:val="hybridMultilevel"/>
    <w:tmpl w:val="C9427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B84B7D"/>
    <w:multiLevelType w:val="hybridMultilevel"/>
    <w:tmpl w:val="65D2ADE8"/>
    <w:lvl w:ilvl="0" w:tplc="254E88B0">
      <w:start w:val="1"/>
      <w:numFmt w:val="bullet"/>
      <w:lvlText w:val="•"/>
      <w:lvlJc w:val="left"/>
      <w:pPr>
        <w:tabs>
          <w:tab w:val="num" w:pos="720"/>
        </w:tabs>
        <w:ind w:left="720" w:hanging="360"/>
      </w:pPr>
      <w:rPr>
        <w:rFonts w:ascii="Arial" w:hAnsi="Arial" w:hint="default"/>
      </w:rPr>
    </w:lvl>
    <w:lvl w:ilvl="1" w:tplc="484C1962" w:tentative="1">
      <w:start w:val="1"/>
      <w:numFmt w:val="bullet"/>
      <w:lvlText w:val="•"/>
      <w:lvlJc w:val="left"/>
      <w:pPr>
        <w:tabs>
          <w:tab w:val="num" w:pos="1440"/>
        </w:tabs>
        <w:ind w:left="1440" w:hanging="360"/>
      </w:pPr>
      <w:rPr>
        <w:rFonts w:ascii="Arial" w:hAnsi="Arial" w:hint="default"/>
      </w:rPr>
    </w:lvl>
    <w:lvl w:ilvl="2" w:tplc="4BA66C3A" w:tentative="1">
      <w:start w:val="1"/>
      <w:numFmt w:val="bullet"/>
      <w:lvlText w:val="•"/>
      <w:lvlJc w:val="left"/>
      <w:pPr>
        <w:tabs>
          <w:tab w:val="num" w:pos="2160"/>
        </w:tabs>
        <w:ind w:left="2160" w:hanging="360"/>
      </w:pPr>
      <w:rPr>
        <w:rFonts w:ascii="Arial" w:hAnsi="Arial" w:hint="default"/>
      </w:rPr>
    </w:lvl>
    <w:lvl w:ilvl="3" w:tplc="61766B2C" w:tentative="1">
      <w:start w:val="1"/>
      <w:numFmt w:val="bullet"/>
      <w:lvlText w:val="•"/>
      <w:lvlJc w:val="left"/>
      <w:pPr>
        <w:tabs>
          <w:tab w:val="num" w:pos="2880"/>
        </w:tabs>
        <w:ind w:left="2880" w:hanging="360"/>
      </w:pPr>
      <w:rPr>
        <w:rFonts w:ascii="Arial" w:hAnsi="Arial" w:hint="default"/>
      </w:rPr>
    </w:lvl>
    <w:lvl w:ilvl="4" w:tplc="01E4D168" w:tentative="1">
      <w:start w:val="1"/>
      <w:numFmt w:val="bullet"/>
      <w:lvlText w:val="•"/>
      <w:lvlJc w:val="left"/>
      <w:pPr>
        <w:tabs>
          <w:tab w:val="num" w:pos="3600"/>
        </w:tabs>
        <w:ind w:left="3600" w:hanging="360"/>
      </w:pPr>
      <w:rPr>
        <w:rFonts w:ascii="Arial" w:hAnsi="Arial" w:hint="default"/>
      </w:rPr>
    </w:lvl>
    <w:lvl w:ilvl="5" w:tplc="3ECA2D26" w:tentative="1">
      <w:start w:val="1"/>
      <w:numFmt w:val="bullet"/>
      <w:lvlText w:val="•"/>
      <w:lvlJc w:val="left"/>
      <w:pPr>
        <w:tabs>
          <w:tab w:val="num" w:pos="4320"/>
        </w:tabs>
        <w:ind w:left="4320" w:hanging="360"/>
      </w:pPr>
      <w:rPr>
        <w:rFonts w:ascii="Arial" w:hAnsi="Arial" w:hint="default"/>
      </w:rPr>
    </w:lvl>
    <w:lvl w:ilvl="6" w:tplc="967EC3E0" w:tentative="1">
      <w:start w:val="1"/>
      <w:numFmt w:val="bullet"/>
      <w:lvlText w:val="•"/>
      <w:lvlJc w:val="left"/>
      <w:pPr>
        <w:tabs>
          <w:tab w:val="num" w:pos="5040"/>
        </w:tabs>
        <w:ind w:left="5040" w:hanging="360"/>
      </w:pPr>
      <w:rPr>
        <w:rFonts w:ascii="Arial" w:hAnsi="Arial" w:hint="default"/>
      </w:rPr>
    </w:lvl>
    <w:lvl w:ilvl="7" w:tplc="0BBEE73A" w:tentative="1">
      <w:start w:val="1"/>
      <w:numFmt w:val="bullet"/>
      <w:lvlText w:val="•"/>
      <w:lvlJc w:val="left"/>
      <w:pPr>
        <w:tabs>
          <w:tab w:val="num" w:pos="5760"/>
        </w:tabs>
        <w:ind w:left="5760" w:hanging="360"/>
      </w:pPr>
      <w:rPr>
        <w:rFonts w:ascii="Arial" w:hAnsi="Arial" w:hint="default"/>
      </w:rPr>
    </w:lvl>
    <w:lvl w:ilvl="8" w:tplc="4016029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140175"/>
    <w:multiLevelType w:val="hybridMultilevel"/>
    <w:tmpl w:val="88EE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167044"/>
    <w:multiLevelType w:val="hybridMultilevel"/>
    <w:tmpl w:val="C4709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8F7094"/>
    <w:multiLevelType w:val="hybridMultilevel"/>
    <w:tmpl w:val="6E7C247C"/>
    <w:lvl w:ilvl="0" w:tplc="FBB0205C">
      <w:start w:val="1"/>
      <w:numFmt w:val="bullet"/>
      <w:lvlText w:val="•"/>
      <w:lvlJc w:val="left"/>
      <w:pPr>
        <w:tabs>
          <w:tab w:val="num" w:pos="720"/>
        </w:tabs>
        <w:ind w:left="720" w:hanging="360"/>
      </w:pPr>
      <w:rPr>
        <w:rFonts w:ascii="Arial" w:hAnsi="Arial" w:hint="default"/>
      </w:rPr>
    </w:lvl>
    <w:lvl w:ilvl="1" w:tplc="BC1CF278" w:tentative="1">
      <w:start w:val="1"/>
      <w:numFmt w:val="bullet"/>
      <w:lvlText w:val="•"/>
      <w:lvlJc w:val="left"/>
      <w:pPr>
        <w:tabs>
          <w:tab w:val="num" w:pos="1440"/>
        </w:tabs>
        <w:ind w:left="1440" w:hanging="360"/>
      </w:pPr>
      <w:rPr>
        <w:rFonts w:ascii="Arial" w:hAnsi="Arial" w:hint="default"/>
      </w:rPr>
    </w:lvl>
    <w:lvl w:ilvl="2" w:tplc="7F2E7F1C" w:tentative="1">
      <w:start w:val="1"/>
      <w:numFmt w:val="bullet"/>
      <w:lvlText w:val="•"/>
      <w:lvlJc w:val="left"/>
      <w:pPr>
        <w:tabs>
          <w:tab w:val="num" w:pos="2160"/>
        </w:tabs>
        <w:ind w:left="2160" w:hanging="360"/>
      </w:pPr>
      <w:rPr>
        <w:rFonts w:ascii="Arial" w:hAnsi="Arial" w:hint="default"/>
      </w:rPr>
    </w:lvl>
    <w:lvl w:ilvl="3" w:tplc="B6FC8B88" w:tentative="1">
      <w:start w:val="1"/>
      <w:numFmt w:val="bullet"/>
      <w:lvlText w:val="•"/>
      <w:lvlJc w:val="left"/>
      <w:pPr>
        <w:tabs>
          <w:tab w:val="num" w:pos="2880"/>
        </w:tabs>
        <w:ind w:left="2880" w:hanging="360"/>
      </w:pPr>
      <w:rPr>
        <w:rFonts w:ascii="Arial" w:hAnsi="Arial" w:hint="default"/>
      </w:rPr>
    </w:lvl>
    <w:lvl w:ilvl="4" w:tplc="84C28502" w:tentative="1">
      <w:start w:val="1"/>
      <w:numFmt w:val="bullet"/>
      <w:lvlText w:val="•"/>
      <w:lvlJc w:val="left"/>
      <w:pPr>
        <w:tabs>
          <w:tab w:val="num" w:pos="3600"/>
        </w:tabs>
        <w:ind w:left="3600" w:hanging="360"/>
      </w:pPr>
      <w:rPr>
        <w:rFonts w:ascii="Arial" w:hAnsi="Arial" w:hint="default"/>
      </w:rPr>
    </w:lvl>
    <w:lvl w:ilvl="5" w:tplc="160067A0" w:tentative="1">
      <w:start w:val="1"/>
      <w:numFmt w:val="bullet"/>
      <w:lvlText w:val="•"/>
      <w:lvlJc w:val="left"/>
      <w:pPr>
        <w:tabs>
          <w:tab w:val="num" w:pos="4320"/>
        </w:tabs>
        <w:ind w:left="4320" w:hanging="360"/>
      </w:pPr>
      <w:rPr>
        <w:rFonts w:ascii="Arial" w:hAnsi="Arial" w:hint="default"/>
      </w:rPr>
    </w:lvl>
    <w:lvl w:ilvl="6" w:tplc="F35248B0" w:tentative="1">
      <w:start w:val="1"/>
      <w:numFmt w:val="bullet"/>
      <w:lvlText w:val="•"/>
      <w:lvlJc w:val="left"/>
      <w:pPr>
        <w:tabs>
          <w:tab w:val="num" w:pos="5040"/>
        </w:tabs>
        <w:ind w:left="5040" w:hanging="360"/>
      </w:pPr>
      <w:rPr>
        <w:rFonts w:ascii="Arial" w:hAnsi="Arial" w:hint="default"/>
      </w:rPr>
    </w:lvl>
    <w:lvl w:ilvl="7" w:tplc="0A5A9E76" w:tentative="1">
      <w:start w:val="1"/>
      <w:numFmt w:val="bullet"/>
      <w:lvlText w:val="•"/>
      <w:lvlJc w:val="left"/>
      <w:pPr>
        <w:tabs>
          <w:tab w:val="num" w:pos="5760"/>
        </w:tabs>
        <w:ind w:left="5760" w:hanging="360"/>
      </w:pPr>
      <w:rPr>
        <w:rFonts w:ascii="Arial" w:hAnsi="Arial" w:hint="default"/>
      </w:rPr>
    </w:lvl>
    <w:lvl w:ilvl="8" w:tplc="7F66E7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B76B6E"/>
    <w:multiLevelType w:val="hybridMultilevel"/>
    <w:tmpl w:val="4E1A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C67E38"/>
    <w:multiLevelType w:val="hybridMultilevel"/>
    <w:tmpl w:val="FC4215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15:restartNumberingAfterBreak="0">
    <w:nsid w:val="6F392075"/>
    <w:multiLevelType w:val="hybridMultilevel"/>
    <w:tmpl w:val="6248EF4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71699F"/>
    <w:multiLevelType w:val="hybridMultilevel"/>
    <w:tmpl w:val="E5940736"/>
    <w:lvl w:ilvl="0" w:tplc="AE487C9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3" w15:restartNumberingAfterBreak="0">
    <w:nsid w:val="783F4BAE"/>
    <w:multiLevelType w:val="hybridMultilevel"/>
    <w:tmpl w:val="3086E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8A224EC"/>
    <w:multiLevelType w:val="hybridMultilevel"/>
    <w:tmpl w:val="3A88EB78"/>
    <w:lvl w:ilvl="0" w:tplc="6E6A7B7A">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9D363F"/>
    <w:multiLevelType w:val="hybridMultilevel"/>
    <w:tmpl w:val="9D72C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318D3"/>
    <w:multiLevelType w:val="hybridMultilevel"/>
    <w:tmpl w:val="D1425FF2"/>
    <w:lvl w:ilvl="0" w:tplc="D542DE28">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7D404546"/>
    <w:multiLevelType w:val="hybridMultilevel"/>
    <w:tmpl w:val="0FEE9DEE"/>
    <w:lvl w:ilvl="0" w:tplc="43184A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F2005"/>
    <w:multiLevelType w:val="hybridMultilevel"/>
    <w:tmpl w:val="0D84EB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5"/>
  </w:num>
  <w:num w:numId="2">
    <w:abstractNumId w:val="27"/>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7"/>
  </w:num>
  <w:num w:numId="8">
    <w:abstractNumId w:val="34"/>
  </w:num>
  <w:num w:numId="9">
    <w:abstractNumId w:val="42"/>
  </w:num>
  <w:num w:numId="10">
    <w:abstractNumId w:val="13"/>
  </w:num>
  <w:num w:numId="11">
    <w:abstractNumId w:val="43"/>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8"/>
  </w:num>
  <w:num w:numId="16">
    <w:abstractNumId w:val="35"/>
  </w:num>
  <w:num w:numId="17">
    <w:abstractNumId w:val="7"/>
  </w:num>
  <w:num w:numId="18">
    <w:abstractNumId w:val="31"/>
  </w:num>
  <w:num w:numId="19">
    <w:abstractNumId w:val="3"/>
  </w:num>
  <w:num w:numId="20">
    <w:abstractNumId w:val="22"/>
  </w:num>
  <w:num w:numId="21">
    <w:abstractNumId w:val="39"/>
  </w:num>
  <w:num w:numId="22">
    <w:abstractNumId w:val="16"/>
  </w:num>
  <w:num w:numId="23">
    <w:abstractNumId w:val="8"/>
  </w:num>
  <w:num w:numId="24">
    <w:abstractNumId w:val="19"/>
  </w:num>
  <w:num w:numId="25">
    <w:abstractNumId w:val="12"/>
  </w:num>
  <w:num w:numId="26">
    <w:abstractNumId w:val="26"/>
  </w:num>
  <w:num w:numId="27">
    <w:abstractNumId w:val="24"/>
  </w:num>
  <w:num w:numId="28">
    <w:abstractNumId w:val="2"/>
  </w:num>
  <w:num w:numId="29">
    <w:abstractNumId w:val="29"/>
  </w:num>
  <w:num w:numId="30">
    <w:abstractNumId w:val="6"/>
  </w:num>
  <w:num w:numId="31">
    <w:abstractNumId w:val="33"/>
  </w:num>
  <w:num w:numId="32">
    <w:abstractNumId w:val="21"/>
  </w:num>
  <w:num w:numId="33">
    <w:abstractNumId w:val="15"/>
  </w:num>
  <w:num w:numId="34">
    <w:abstractNumId w:val="30"/>
  </w:num>
  <w:num w:numId="35">
    <w:abstractNumId w:val="4"/>
  </w:num>
  <w:num w:numId="36">
    <w:abstractNumId w:val="40"/>
  </w:num>
  <w:num w:numId="37">
    <w:abstractNumId w:val="14"/>
  </w:num>
  <w:num w:numId="38">
    <w:abstractNumId w:val="45"/>
  </w:num>
  <w:num w:numId="39">
    <w:abstractNumId w:val="11"/>
  </w:num>
  <w:num w:numId="40">
    <w:abstractNumId w:val="9"/>
  </w:num>
  <w:num w:numId="41">
    <w:abstractNumId w:val="20"/>
  </w:num>
  <w:num w:numId="42">
    <w:abstractNumId w:val="10"/>
  </w:num>
  <w:num w:numId="43">
    <w:abstractNumId w:val="32"/>
  </w:num>
  <w:num w:numId="44">
    <w:abstractNumId w:val="18"/>
  </w:num>
  <w:num w:numId="45">
    <w:abstractNumId w:val="44"/>
  </w:num>
  <w:num w:numId="46">
    <w:abstractNumId w:val="1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8"/>
  </w:num>
  <w:num w:numId="5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37"/>
    <w:rsid w:val="000108A6"/>
    <w:rsid w:val="00014019"/>
    <w:rsid w:val="00015246"/>
    <w:rsid w:val="000203B3"/>
    <w:rsid w:val="00025C97"/>
    <w:rsid w:val="00033BCB"/>
    <w:rsid w:val="00036AE0"/>
    <w:rsid w:val="00041E0E"/>
    <w:rsid w:val="00051242"/>
    <w:rsid w:val="0005352F"/>
    <w:rsid w:val="000538E6"/>
    <w:rsid w:val="00053E82"/>
    <w:rsid w:val="0006210C"/>
    <w:rsid w:val="00064622"/>
    <w:rsid w:val="00064E8B"/>
    <w:rsid w:val="00066DFF"/>
    <w:rsid w:val="00074480"/>
    <w:rsid w:val="0008070E"/>
    <w:rsid w:val="000815EB"/>
    <w:rsid w:val="000828E2"/>
    <w:rsid w:val="00082977"/>
    <w:rsid w:val="000867BE"/>
    <w:rsid w:val="00092ECF"/>
    <w:rsid w:val="00095AA1"/>
    <w:rsid w:val="0009629B"/>
    <w:rsid w:val="00097ECD"/>
    <w:rsid w:val="000A02AB"/>
    <w:rsid w:val="000A301B"/>
    <w:rsid w:val="000A5570"/>
    <w:rsid w:val="000A5A55"/>
    <w:rsid w:val="000A61A1"/>
    <w:rsid w:val="000B03EF"/>
    <w:rsid w:val="000B27A6"/>
    <w:rsid w:val="000B36FC"/>
    <w:rsid w:val="000C4A7C"/>
    <w:rsid w:val="000C5C4A"/>
    <w:rsid w:val="000E506C"/>
    <w:rsid w:val="000E5624"/>
    <w:rsid w:val="000F01ED"/>
    <w:rsid w:val="000F068D"/>
    <w:rsid w:val="00103D67"/>
    <w:rsid w:val="00103D6D"/>
    <w:rsid w:val="00114C9C"/>
    <w:rsid w:val="00125B3A"/>
    <w:rsid w:val="00127C85"/>
    <w:rsid w:val="001341EE"/>
    <w:rsid w:val="00136E55"/>
    <w:rsid w:val="0013720B"/>
    <w:rsid w:val="001431BB"/>
    <w:rsid w:val="00143985"/>
    <w:rsid w:val="00151AC0"/>
    <w:rsid w:val="00156B85"/>
    <w:rsid w:val="00163C15"/>
    <w:rsid w:val="001640CE"/>
    <w:rsid w:val="0017456F"/>
    <w:rsid w:val="0017567A"/>
    <w:rsid w:val="001827AF"/>
    <w:rsid w:val="001831A4"/>
    <w:rsid w:val="001850F9"/>
    <w:rsid w:val="0019320E"/>
    <w:rsid w:val="00193F06"/>
    <w:rsid w:val="00197AB3"/>
    <w:rsid w:val="001A47E5"/>
    <w:rsid w:val="001A59E0"/>
    <w:rsid w:val="001A7CB1"/>
    <w:rsid w:val="001B1754"/>
    <w:rsid w:val="001C11EB"/>
    <w:rsid w:val="001E5864"/>
    <w:rsid w:val="001E70D8"/>
    <w:rsid w:val="001F0B06"/>
    <w:rsid w:val="00200761"/>
    <w:rsid w:val="00203B9D"/>
    <w:rsid w:val="00204C85"/>
    <w:rsid w:val="00213E5F"/>
    <w:rsid w:val="00213EC2"/>
    <w:rsid w:val="0021418E"/>
    <w:rsid w:val="0021587E"/>
    <w:rsid w:val="00216518"/>
    <w:rsid w:val="0023096B"/>
    <w:rsid w:val="00231523"/>
    <w:rsid w:val="00231593"/>
    <w:rsid w:val="00232267"/>
    <w:rsid w:val="00232CAE"/>
    <w:rsid w:val="0023542D"/>
    <w:rsid w:val="0023789D"/>
    <w:rsid w:val="0025388C"/>
    <w:rsid w:val="002538F3"/>
    <w:rsid w:val="002550B3"/>
    <w:rsid w:val="00255297"/>
    <w:rsid w:val="00260A73"/>
    <w:rsid w:val="00262D1B"/>
    <w:rsid w:val="00291AB7"/>
    <w:rsid w:val="002929ED"/>
    <w:rsid w:val="00292FF2"/>
    <w:rsid w:val="00294476"/>
    <w:rsid w:val="00295538"/>
    <w:rsid w:val="00296DEC"/>
    <w:rsid w:val="002A1ACF"/>
    <w:rsid w:val="002A2649"/>
    <w:rsid w:val="002A5C0D"/>
    <w:rsid w:val="002A60DD"/>
    <w:rsid w:val="002B0377"/>
    <w:rsid w:val="002C1074"/>
    <w:rsid w:val="002C1672"/>
    <w:rsid w:val="002C37E2"/>
    <w:rsid w:val="002C5D44"/>
    <w:rsid w:val="002D0684"/>
    <w:rsid w:val="002D146C"/>
    <w:rsid w:val="002D4402"/>
    <w:rsid w:val="002D6C23"/>
    <w:rsid w:val="002E213F"/>
    <w:rsid w:val="002E24FB"/>
    <w:rsid w:val="002E35DB"/>
    <w:rsid w:val="002E742D"/>
    <w:rsid w:val="002F0824"/>
    <w:rsid w:val="00300286"/>
    <w:rsid w:val="00310A7D"/>
    <w:rsid w:val="00313700"/>
    <w:rsid w:val="003145E8"/>
    <w:rsid w:val="00315545"/>
    <w:rsid w:val="003159D2"/>
    <w:rsid w:val="00316ECE"/>
    <w:rsid w:val="00321833"/>
    <w:rsid w:val="00326642"/>
    <w:rsid w:val="003374FA"/>
    <w:rsid w:val="00337F47"/>
    <w:rsid w:val="00341461"/>
    <w:rsid w:val="00342C76"/>
    <w:rsid w:val="00343F4C"/>
    <w:rsid w:val="0034434B"/>
    <w:rsid w:val="00347534"/>
    <w:rsid w:val="00351269"/>
    <w:rsid w:val="003549F4"/>
    <w:rsid w:val="00356D6A"/>
    <w:rsid w:val="00362462"/>
    <w:rsid w:val="003637A9"/>
    <w:rsid w:val="003643E8"/>
    <w:rsid w:val="00366D1E"/>
    <w:rsid w:val="00370D1D"/>
    <w:rsid w:val="003749C6"/>
    <w:rsid w:val="00376B5A"/>
    <w:rsid w:val="0038075E"/>
    <w:rsid w:val="003812E4"/>
    <w:rsid w:val="00384896"/>
    <w:rsid w:val="003919F7"/>
    <w:rsid w:val="00391AFB"/>
    <w:rsid w:val="00396EAD"/>
    <w:rsid w:val="0039736A"/>
    <w:rsid w:val="003B4AAA"/>
    <w:rsid w:val="003B58D6"/>
    <w:rsid w:val="003C0A28"/>
    <w:rsid w:val="003F4B44"/>
    <w:rsid w:val="004072F4"/>
    <w:rsid w:val="00410562"/>
    <w:rsid w:val="004112EE"/>
    <w:rsid w:val="00412D3B"/>
    <w:rsid w:val="004133DB"/>
    <w:rsid w:val="00413C1E"/>
    <w:rsid w:val="00414BAE"/>
    <w:rsid w:val="004219A5"/>
    <w:rsid w:val="00427589"/>
    <w:rsid w:val="004278ED"/>
    <w:rsid w:val="00427C03"/>
    <w:rsid w:val="00432903"/>
    <w:rsid w:val="0043314C"/>
    <w:rsid w:val="00434246"/>
    <w:rsid w:val="00437A47"/>
    <w:rsid w:val="00444ABD"/>
    <w:rsid w:val="00452B1D"/>
    <w:rsid w:val="0045394D"/>
    <w:rsid w:val="00454AA0"/>
    <w:rsid w:val="00455326"/>
    <w:rsid w:val="00456567"/>
    <w:rsid w:val="00464526"/>
    <w:rsid w:val="00484348"/>
    <w:rsid w:val="004916CA"/>
    <w:rsid w:val="00493A2A"/>
    <w:rsid w:val="00493A2D"/>
    <w:rsid w:val="00496300"/>
    <w:rsid w:val="004A0459"/>
    <w:rsid w:val="004B3A83"/>
    <w:rsid w:val="004B5366"/>
    <w:rsid w:val="004C0993"/>
    <w:rsid w:val="004C256F"/>
    <w:rsid w:val="004C4B2C"/>
    <w:rsid w:val="004C5452"/>
    <w:rsid w:val="004D1D93"/>
    <w:rsid w:val="004D5ACF"/>
    <w:rsid w:val="004E00B1"/>
    <w:rsid w:val="004E382E"/>
    <w:rsid w:val="004E461A"/>
    <w:rsid w:val="004E6214"/>
    <w:rsid w:val="004E6D54"/>
    <w:rsid w:val="004F3965"/>
    <w:rsid w:val="004F712B"/>
    <w:rsid w:val="00500FFA"/>
    <w:rsid w:val="00501D2F"/>
    <w:rsid w:val="00505607"/>
    <w:rsid w:val="00513B5E"/>
    <w:rsid w:val="00515635"/>
    <w:rsid w:val="00521C4E"/>
    <w:rsid w:val="00525A1D"/>
    <w:rsid w:val="00530BFC"/>
    <w:rsid w:val="00531104"/>
    <w:rsid w:val="005324AB"/>
    <w:rsid w:val="0053441E"/>
    <w:rsid w:val="00536941"/>
    <w:rsid w:val="00536D2C"/>
    <w:rsid w:val="005378EF"/>
    <w:rsid w:val="00537F5E"/>
    <w:rsid w:val="005401E1"/>
    <w:rsid w:val="005450A2"/>
    <w:rsid w:val="00547324"/>
    <w:rsid w:val="00552E59"/>
    <w:rsid w:val="00556C09"/>
    <w:rsid w:val="005604A6"/>
    <w:rsid w:val="0056266E"/>
    <w:rsid w:val="0056297E"/>
    <w:rsid w:val="00565E05"/>
    <w:rsid w:val="00565F9B"/>
    <w:rsid w:val="005959E5"/>
    <w:rsid w:val="005A2FEF"/>
    <w:rsid w:val="005A4BF7"/>
    <w:rsid w:val="005C2CA4"/>
    <w:rsid w:val="005C3809"/>
    <w:rsid w:val="005C5502"/>
    <w:rsid w:val="005C5827"/>
    <w:rsid w:val="005D1741"/>
    <w:rsid w:val="005D29CC"/>
    <w:rsid w:val="005D779B"/>
    <w:rsid w:val="005D7ACF"/>
    <w:rsid w:val="005E053F"/>
    <w:rsid w:val="005E197A"/>
    <w:rsid w:val="005E1F3F"/>
    <w:rsid w:val="005F0859"/>
    <w:rsid w:val="005F1F68"/>
    <w:rsid w:val="005F6875"/>
    <w:rsid w:val="00600964"/>
    <w:rsid w:val="00601216"/>
    <w:rsid w:val="006016DC"/>
    <w:rsid w:val="0060231C"/>
    <w:rsid w:val="00605040"/>
    <w:rsid w:val="006050B0"/>
    <w:rsid w:val="006054DD"/>
    <w:rsid w:val="00605DE7"/>
    <w:rsid w:val="00606EDD"/>
    <w:rsid w:val="0061035A"/>
    <w:rsid w:val="006129C9"/>
    <w:rsid w:val="00615D46"/>
    <w:rsid w:val="00620581"/>
    <w:rsid w:val="0062297A"/>
    <w:rsid w:val="00627F67"/>
    <w:rsid w:val="0063143F"/>
    <w:rsid w:val="00632304"/>
    <w:rsid w:val="00640D4F"/>
    <w:rsid w:val="00645A49"/>
    <w:rsid w:val="00646782"/>
    <w:rsid w:val="0065478C"/>
    <w:rsid w:val="00664AB5"/>
    <w:rsid w:val="0066659D"/>
    <w:rsid w:val="006673B8"/>
    <w:rsid w:val="00674A55"/>
    <w:rsid w:val="006764F8"/>
    <w:rsid w:val="00682C5F"/>
    <w:rsid w:val="0068540B"/>
    <w:rsid w:val="006855D3"/>
    <w:rsid w:val="00685DB3"/>
    <w:rsid w:val="00691EAF"/>
    <w:rsid w:val="00691F66"/>
    <w:rsid w:val="00694435"/>
    <w:rsid w:val="00694560"/>
    <w:rsid w:val="00697CC7"/>
    <w:rsid w:val="006A21AF"/>
    <w:rsid w:val="006A2663"/>
    <w:rsid w:val="006A27E0"/>
    <w:rsid w:val="006B1722"/>
    <w:rsid w:val="006B60C0"/>
    <w:rsid w:val="006B6E78"/>
    <w:rsid w:val="006C3192"/>
    <w:rsid w:val="006C49D5"/>
    <w:rsid w:val="006C4D3D"/>
    <w:rsid w:val="006C6C24"/>
    <w:rsid w:val="006D08B3"/>
    <w:rsid w:val="006D33AC"/>
    <w:rsid w:val="006D61C4"/>
    <w:rsid w:val="006D674C"/>
    <w:rsid w:val="006E05C6"/>
    <w:rsid w:val="006E4F37"/>
    <w:rsid w:val="006F2EAD"/>
    <w:rsid w:val="007012EC"/>
    <w:rsid w:val="00702DBA"/>
    <w:rsid w:val="00706314"/>
    <w:rsid w:val="00707693"/>
    <w:rsid w:val="0072032E"/>
    <w:rsid w:val="00721024"/>
    <w:rsid w:val="00732DCD"/>
    <w:rsid w:val="007350D6"/>
    <w:rsid w:val="007364C7"/>
    <w:rsid w:val="00740360"/>
    <w:rsid w:val="00744774"/>
    <w:rsid w:val="00750AB2"/>
    <w:rsid w:val="00751B0C"/>
    <w:rsid w:val="007531AE"/>
    <w:rsid w:val="00756028"/>
    <w:rsid w:val="00756CEA"/>
    <w:rsid w:val="00757CB8"/>
    <w:rsid w:val="00763838"/>
    <w:rsid w:val="00765096"/>
    <w:rsid w:val="007678FC"/>
    <w:rsid w:val="007700B2"/>
    <w:rsid w:val="007716B3"/>
    <w:rsid w:val="00773590"/>
    <w:rsid w:val="0077551D"/>
    <w:rsid w:val="00776A3D"/>
    <w:rsid w:val="00776A5E"/>
    <w:rsid w:val="00776E59"/>
    <w:rsid w:val="00786F4B"/>
    <w:rsid w:val="00792F51"/>
    <w:rsid w:val="00796139"/>
    <w:rsid w:val="007A08BF"/>
    <w:rsid w:val="007A6A0B"/>
    <w:rsid w:val="007B1E4A"/>
    <w:rsid w:val="007B4B5D"/>
    <w:rsid w:val="007C19E9"/>
    <w:rsid w:val="007C2E86"/>
    <w:rsid w:val="007C3173"/>
    <w:rsid w:val="007C5521"/>
    <w:rsid w:val="007D2328"/>
    <w:rsid w:val="007D47CF"/>
    <w:rsid w:val="007D56B6"/>
    <w:rsid w:val="007D640D"/>
    <w:rsid w:val="007E64D0"/>
    <w:rsid w:val="007E78FB"/>
    <w:rsid w:val="007E7FAA"/>
    <w:rsid w:val="007F3433"/>
    <w:rsid w:val="007F667E"/>
    <w:rsid w:val="007F794E"/>
    <w:rsid w:val="00803625"/>
    <w:rsid w:val="0080383B"/>
    <w:rsid w:val="0080636B"/>
    <w:rsid w:val="00806BFF"/>
    <w:rsid w:val="0081028E"/>
    <w:rsid w:val="00812026"/>
    <w:rsid w:val="0081444C"/>
    <w:rsid w:val="00815AE4"/>
    <w:rsid w:val="008163EF"/>
    <w:rsid w:val="00817C3B"/>
    <w:rsid w:val="00825848"/>
    <w:rsid w:val="008276DC"/>
    <w:rsid w:val="0083580D"/>
    <w:rsid w:val="00843EEF"/>
    <w:rsid w:val="00847471"/>
    <w:rsid w:val="0085079C"/>
    <w:rsid w:val="00853A7E"/>
    <w:rsid w:val="00861DF9"/>
    <w:rsid w:val="00865CE9"/>
    <w:rsid w:val="00866B92"/>
    <w:rsid w:val="00867AD5"/>
    <w:rsid w:val="00870760"/>
    <w:rsid w:val="00875807"/>
    <w:rsid w:val="00876A93"/>
    <w:rsid w:val="0088356D"/>
    <w:rsid w:val="00891036"/>
    <w:rsid w:val="00893430"/>
    <w:rsid w:val="00893BC5"/>
    <w:rsid w:val="008945BE"/>
    <w:rsid w:val="00894D94"/>
    <w:rsid w:val="008A03CB"/>
    <w:rsid w:val="008A31ED"/>
    <w:rsid w:val="008A4B08"/>
    <w:rsid w:val="008B0A91"/>
    <w:rsid w:val="008C0A54"/>
    <w:rsid w:val="008C0BF6"/>
    <w:rsid w:val="008C1B09"/>
    <w:rsid w:val="008C5002"/>
    <w:rsid w:val="008D4E38"/>
    <w:rsid w:val="008D68CB"/>
    <w:rsid w:val="008D6D61"/>
    <w:rsid w:val="008E7FF9"/>
    <w:rsid w:val="008F0926"/>
    <w:rsid w:val="008F201C"/>
    <w:rsid w:val="008F33A1"/>
    <w:rsid w:val="008F62D5"/>
    <w:rsid w:val="008F7E2B"/>
    <w:rsid w:val="00901CC5"/>
    <w:rsid w:val="0090240E"/>
    <w:rsid w:val="0091266A"/>
    <w:rsid w:val="0091710A"/>
    <w:rsid w:val="00926A35"/>
    <w:rsid w:val="0093181A"/>
    <w:rsid w:val="00933540"/>
    <w:rsid w:val="00954D6A"/>
    <w:rsid w:val="009615F0"/>
    <w:rsid w:val="00961805"/>
    <w:rsid w:val="00971006"/>
    <w:rsid w:val="00986C94"/>
    <w:rsid w:val="00992576"/>
    <w:rsid w:val="009946C6"/>
    <w:rsid w:val="00994BE7"/>
    <w:rsid w:val="009952F6"/>
    <w:rsid w:val="0099617B"/>
    <w:rsid w:val="009A2902"/>
    <w:rsid w:val="009A39AA"/>
    <w:rsid w:val="009A3EAF"/>
    <w:rsid w:val="009B2EA3"/>
    <w:rsid w:val="009B73DA"/>
    <w:rsid w:val="009B75E1"/>
    <w:rsid w:val="009C5072"/>
    <w:rsid w:val="009C5074"/>
    <w:rsid w:val="009C77EC"/>
    <w:rsid w:val="009D15AE"/>
    <w:rsid w:val="009D1F1C"/>
    <w:rsid w:val="009D2223"/>
    <w:rsid w:val="009D34E0"/>
    <w:rsid w:val="009D3991"/>
    <w:rsid w:val="009D70FA"/>
    <w:rsid w:val="009E108F"/>
    <w:rsid w:val="009E2054"/>
    <w:rsid w:val="009E3EA6"/>
    <w:rsid w:val="009F279E"/>
    <w:rsid w:val="009F3A76"/>
    <w:rsid w:val="009F3C5B"/>
    <w:rsid w:val="00A01232"/>
    <w:rsid w:val="00A1507B"/>
    <w:rsid w:val="00A1723C"/>
    <w:rsid w:val="00A27642"/>
    <w:rsid w:val="00A3390E"/>
    <w:rsid w:val="00A3599C"/>
    <w:rsid w:val="00A367D7"/>
    <w:rsid w:val="00A44FE7"/>
    <w:rsid w:val="00A456B6"/>
    <w:rsid w:val="00A50786"/>
    <w:rsid w:val="00A50D7F"/>
    <w:rsid w:val="00A52973"/>
    <w:rsid w:val="00A5639E"/>
    <w:rsid w:val="00A60C27"/>
    <w:rsid w:val="00A61ABF"/>
    <w:rsid w:val="00A62D49"/>
    <w:rsid w:val="00A70244"/>
    <w:rsid w:val="00A74B88"/>
    <w:rsid w:val="00A7797F"/>
    <w:rsid w:val="00A8359E"/>
    <w:rsid w:val="00A92AE2"/>
    <w:rsid w:val="00AA2801"/>
    <w:rsid w:val="00AB106F"/>
    <w:rsid w:val="00AB43DB"/>
    <w:rsid w:val="00AB7E7F"/>
    <w:rsid w:val="00AC1038"/>
    <w:rsid w:val="00AC1360"/>
    <w:rsid w:val="00AC1A33"/>
    <w:rsid w:val="00AC2C80"/>
    <w:rsid w:val="00AC4234"/>
    <w:rsid w:val="00AC5B51"/>
    <w:rsid w:val="00AD3CED"/>
    <w:rsid w:val="00AD3D5B"/>
    <w:rsid w:val="00AD777B"/>
    <w:rsid w:val="00AE3066"/>
    <w:rsid w:val="00AE3199"/>
    <w:rsid w:val="00AE4245"/>
    <w:rsid w:val="00AE5495"/>
    <w:rsid w:val="00AE6108"/>
    <w:rsid w:val="00AE67CB"/>
    <w:rsid w:val="00AE6D1D"/>
    <w:rsid w:val="00AF220C"/>
    <w:rsid w:val="00AF397F"/>
    <w:rsid w:val="00AF52E5"/>
    <w:rsid w:val="00AF5483"/>
    <w:rsid w:val="00AF6489"/>
    <w:rsid w:val="00AF6648"/>
    <w:rsid w:val="00B02165"/>
    <w:rsid w:val="00B061B7"/>
    <w:rsid w:val="00B10407"/>
    <w:rsid w:val="00B20FF8"/>
    <w:rsid w:val="00B23E63"/>
    <w:rsid w:val="00B24460"/>
    <w:rsid w:val="00B33339"/>
    <w:rsid w:val="00B33EF7"/>
    <w:rsid w:val="00B441CA"/>
    <w:rsid w:val="00B5780A"/>
    <w:rsid w:val="00B61602"/>
    <w:rsid w:val="00B6236A"/>
    <w:rsid w:val="00B656CF"/>
    <w:rsid w:val="00B67ADB"/>
    <w:rsid w:val="00B728F9"/>
    <w:rsid w:val="00B759E5"/>
    <w:rsid w:val="00B75B88"/>
    <w:rsid w:val="00B85DBF"/>
    <w:rsid w:val="00B860C1"/>
    <w:rsid w:val="00B8748C"/>
    <w:rsid w:val="00B96C75"/>
    <w:rsid w:val="00BA154A"/>
    <w:rsid w:val="00BA3C61"/>
    <w:rsid w:val="00BA3EE7"/>
    <w:rsid w:val="00BB2612"/>
    <w:rsid w:val="00BB4345"/>
    <w:rsid w:val="00BB5D38"/>
    <w:rsid w:val="00BC05B7"/>
    <w:rsid w:val="00BC3518"/>
    <w:rsid w:val="00BC503A"/>
    <w:rsid w:val="00BC5121"/>
    <w:rsid w:val="00BC6BAE"/>
    <w:rsid w:val="00BC7929"/>
    <w:rsid w:val="00BE2744"/>
    <w:rsid w:val="00BE3922"/>
    <w:rsid w:val="00BE74E6"/>
    <w:rsid w:val="00BE7C1A"/>
    <w:rsid w:val="00BE7EEE"/>
    <w:rsid w:val="00BF255D"/>
    <w:rsid w:val="00BF2CEB"/>
    <w:rsid w:val="00BF55E3"/>
    <w:rsid w:val="00C01A47"/>
    <w:rsid w:val="00C06C7D"/>
    <w:rsid w:val="00C110C6"/>
    <w:rsid w:val="00C148F4"/>
    <w:rsid w:val="00C15121"/>
    <w:rsid w:val="00C20793"/>
    <w:rsid w:val="00C22592"/>
    <w:rsid w:val="00C24C34"/>
    <w:rsid w:val="00C2619F"/>
    <w:rsid w:val="00C324BA"/>
    <w:rsid w:val="00C4032B"/>
    <w:rsid w:val="00C433BC"/>
    <w:rsid w:val="00C43A2A"/>
    <w:rsid w:val="00C468C9"/>
    <w:rsid w:val="00C51C79"/>
    <w:rsid w:val="00C52634"/>
    <w:rsid w:val="00C54108"/>
    <w:rsid w:val="00C61480"/>
    <w:rsid w:val="00C62FA0"/>
    <w:rsid w:val="00C719C8"/>
    <w:rsid w:val="00C71AF6"/>
    <w:rsid w:val="00C74BA1"/>
    <w:rsid w:val="00C76EC5"/>
    <w:rsid w:val="00C83FBB"/>
    <w:rsid w:val="00C85479"/>
    <w:rsid w:val="00CA0952"/>
    <w:rsid w:val="00CA17A5"/>
    <w:rsid w:val="00CA368B"/>
    <w:rsid w:val="00CA463A"/>
    <w:rsid w:val="00CA5847"/>
    <w:rsid w:val="00CA5A26"/>
    <w:rsid w:val="00CB276C"/>
    <w:rsid w:val="00CC7796"/>
    <w:rsid w:val="00CD0C77"/>
    <w:rsid w:val="00CD0EBE"/>
    <w:rsid w:val="00CD3CB6"/>
    <w:rsid w:val="00CD4C45"/>
    <w:rsid w:val="00CD5989"/>
    <w:rsid w:val="00CD7008"/>
    <w:rsid w:val="00CE1366"/>
    <w:rsid w:val="00CE29B8"/>
    <w:rsid w:val="00CF12BD"/>
    <w:rsid w:val="00CF1ABF"/>
    <w:rsid w:val="00CF485C"/>
    <w:rsid w:val="00D06314"/>
    <w:rsid w:val="00D1410A"/>
    <w:rsid w:val="00D20E7E"/>
    <w:rsid w:val="00D211A3"/>
    <w:rsid w:val="00D21C12"/>
    <w:rsid w:val="00D23481"/>
    <w:rsid w:val="00D26500"/>
    <w:rsid w:val="00D311AD"/>
    <w:rsid w:val="00D345C0"/>
    <w:rsid w:val="00D417F1"/>
    <w:rsid w:val="00D504FD"/>
    <w:rsid w:val="00D510E9"/>
    <w:rsid w:val="00D55B67"/>
    <w:rsid w:val="00D62B8B"/>
    <w:rsid w:val="00D63FD4"/>
    <w:rsid w:val="00D64445"/>
    <w:rsid w:val="00D667D6"/>
    <w:rsid w:val="00D66E88"/>
    <w:rsid w:val="00D67F36"/>
    <w:rsid w:val="00D76C0A"/>
    <w:rsid w:val="00D81154"/>
    <w:rsid w:val="00D814B4"/>
    <w:rsid w:val="00D86E1C"/>
    <w:rsid w:val="00D87382"/>
    <w:rsid w:val="00D87A10"/>
    <w:rsid w:val="00D90270"/>
    <w:rsid w:val="00D9125B"/>
    <w:rsid w:val="00D91809"/>
    <w:rsid w:val="00D936F9"/>
    <w:rsid w:val="00D963BD"/>
    <w:rsid w:val="00D96684"/>
    <w:rsid w:val="00DA09AB"/>
    <w:rsid w:val="00DA5EFD"/>
    <w:rsid w:val="00DA60DC"/>
    <w:rsid w:val="00DA6EBC"/>
    <w:rsid w:val="00DA7C76"/>
    <w:rsid w:val="00DB12F9"/>
    <w:rsid w:val="00DB209F"/>
    <w:rsid w:val="00DB5E55"/>
    <w:rsid w:val="00DC07AF"/>
    <w:rsid w:val="00DC08EB"/>
    <w:rsid w:val="00DC2AF5"/>
    <w:rsid w:val="00DD1B27"/>
    <w:rsid w:val="00DD307D"/>
    <w:rsid w:val="00DE5593"/>
    <w:rsid w:val="00DE6802"/>
    <w:rsid w:val="00DF1118"/>
    <w:rsid w:val="00DF3C41"/>
    <w:rsid w:val="00DF52DD"/>
    <w:rsid w:val="00E00E26"/>
    <w:rsid w:val="00E00E8E"/>
    <w:rsid w:val="00E07ED0"/>
    <w:rsid w:val="00E10B9D"/>
    <w:rsid w:val="00E13B36"/>
    <w:rsid w:val="00E1499F"/>
    <w:rsid w:val="00E16744"/>
    <w:rsid w:val="00E16F90"/>
    <w:rsid w:val="00E21D09"/>
    <w:rsid w:val="00E264E7"/>
    <w:rsid w:val="00E27A9C"/>
    <w:rsid w:val="00E31F59"/>
    <w:rsid w:val="00E32F2F"/>
    <w:rsid w:val="00E3469B"/>
    <w:rsid w:val="00E459C2"/>
    <w:rsid w:val="00E5071C"/>
    <w:rsid w:val="00E524E6"/>
    <w:rsid w:val="00E5269F"/>
    <w:rsid w:val="00E544BE"/>
    <w:rsid w:val="00E57282"/>
    <w:rsid w:val="00E62AF2"/>
    <w:rsid w:val="00E63AE1"/>
    <w:rsid w:val="00E63FB4"/>
    <w:rsid w:val="00E72FFF"/>
    <w:rsid w:val="00E73B2F"/>
    <w:rsid w:val="00E7456D"/>
    <w:rsid w:val="00E74AFA"/>
    <w:rsid w:val="00E74F00"/>
    <w:rsid w:val="00E77538"/>
    <w:rsid w:val="00E86CBC"/>
    <w:rsid w:val="00E910B1"/>
    <w:rsid w:val="00E9210B"/>
    <w:rsid w:val="00E92A87"/>
    <w:rsid w:val="00E93BC0"/>
    <w:rsid w:val="00E95301"/>
    <w:rsid w:val="00E97EBE"/>
    <w:rsid w:val="00EA744C"/>
    <w:rsid w:val="00EA7EE7"/>
    <w:rsid w:val="00EB1148"/>
    <w:rsid w:val="00EB1B55"/>
    <w:rsid w:val="00EB7399"/>
    <w:rsid w:val="00EC1888"/>
    <w:rsid w:val="00EC2C93"/>
    <w:rsid w:val="00EC421C"/>
    <w:rsid w:val="00EC7A56"/>
    <w:rsid w:val="00ED1A43"/>
    <w:rsid w:val="00ED2173"/>
    <w:rsid w:val="00ED32DB"/>
    <w:rsid w:val="00ED51A0"/>
    <w:rsid w:val="00EE10DF"/>
    <w:rsid w:val="00EE36C9"/>
    <w:rsid w:val="00EE3976"/>
    <w:rsid w:val="00EE555D"/>
    <w:rsid w:val="00EE6162"/>
    <w:rsid w:val="00EE7442"/>
    <w:rsid w:val="00EF121C"/>
    <w:rsid w:val="00F0347E"/>
    <w:rsid w:val="00F131DE"/>
    <w:rsid w:val="00F13E4C"/>
    <w:rsid w:val="00F14661"/>
    <w:rsid w:val="00F167D3"/>
    <w:rsid w:val="00F22EF5"/>
    <w:rsid w:val="00F27DE2"/>
    <w:rsid w:val="00F316BC"/>
    <w:rsid w:val="00F46B28"/>
    <w:rsid w:val="00F502B3"/>
    <w:rsid w:val="00F531E4"/>
    <w:rsid w:val="00F613E2"/>
    <w:rsid w:val="00F61CF2"/>
    <w:rsid w:val="00F64D05"/>
    <w:rsid w:val="00F72F3C"/>
    <w:rsid w:val="00F73E6E"/>
    <w:rsid w:val="00F74644"/>
    <w:rsid w:val="00F74C96"/>
    <w:rsid w:val="00F75838"/>
    <w:rsid w:val="00F81EA4"/>
    <w:rsid w:val="00F831B9"/>
    <w:rsid w:val="00F958F4"/>
    <w:rsid w:val="00FA140D"/>
    <w:rsid w:val="00FA7F40"/>
    <w:rsid w:val="00FB1A22"/>
    <w:rsid w:val="00FB618B"/>
    <w:rsid w:val="00FB69B2"/>
    <w:rsid w:val="00FB6A6F"/>
    <w:rsid w:val="00FC0543"/>
    <w:rsid w:val="00FC38A8"/>
    <w:rsid w:val="00FC3FE3"/>
    <w:rsid w:val="00FC4C50"/>
    <w:rsid w:val="00FD3F23"/>
    <w:rsid w:val="00FD4514"/>
    <w:rsid w:val="00FD7648"/>
    <w:rsid w:val="00FD792B"/>
    <w:rsid w:val="00FE29D4"/>
    <w:rsid w:val="00FE3D71"/>
    <w:rsid w:val="00FF137E"/>
    <w:rsid w:val="00FF1E70"/>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E1443EF4-9472-4A5D-A06B-D6FBCE50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7C"/>
    <w:rPr>
      <w:sz w:val="24"/>
      <w:szCs w:val="24"/>
    </w:rPr>
  </w:style>
  <w:style w:type="paragraph" w:styleId="Heading1">
    <w:name w:val="heading 1"/>
    <w:basedOn w:val="Normal"/>
    <w:next w:val="Normal"/>
    <w:link w:val="Heading1Char"/>
    <w:autoRedefine/>
    <w:qFormat/>
    <w:rsid w:val="006E05C6"/>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autoRedefine/>
    <w:qFormat/>
    <w:rsid w:val="000815EB"/>
    <w:pPr>
      <w:keepNext/>
      <w:numPr>
        <w:ilvl w:val="1"/>
        <w:numId w:val="1"/>
      </w:numPr>
      <w:tabs>
        <w:tab w:val="left" w:pos="720"/>
        <w:tab w:val="left" w:pos="1080"/>
        <w:tab w:val="left" w:pos="2160"/>
        <w:tab w:val="left" w:pos="2520"/>
      </w:tabs>
      <w:spacing w:before="240" w:after="60"/>
      <w:ind w:hanging="2016"/>
      <w:outlineLvl w:val="1"/>
    </w:pPr>
    <w:rPr>
      <w:rFonts w:ascii="Arial" w:hAnsi="Arial" w:cs="Arial"/>
      <w:b/>
      <w:bCs/>
      <w:iCs/>
      <w:szCs w:val="28"/>
    </w:rPr>
  </w:style>
  <w:style w:type="paragraph" w:styleId="Heading3">
    <w:name w:val="heading 3"/>
    <w:basedOn w:val="Normal"/>
    <w:next w:val="Normal"/>
    <w:link w:val="Heading3Char"/>
    <w:autoRedefine/>
    <w:qFormat/>
    <w:rsid w:val="000815EB"/>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link w:val="Heading4Char"/>
    <w:autoRedefine/>
    <w:qFormat/>
    <w:rsid w:val="00893BC5"/>
    <w:pPr>
      <w:keepNext/>
      <w:numPr>
        <w:ilvl w:val="3"/>
        <w:numId w:val="1"/>
      </w:numPr>
      <w:spacing w:before="240" w:after="60"/>
      <w:outlineLvl w:val="3"/>
    </w:pPr>
    <w:rPr>
      <w:rFonts w:ascii="Times New Roman" w:hAnsi="Times New Roman"/>
      <w:b/>
      <w:bCs/>
      <w:sz w:val="20"/>
      <w:szCs w:val="28"/>
    </w:rPr>
  </w:style>
  <w:style w:type="paragraph" w:styleId="Heading5">
    <w:name w:val="heading 5"/>
    <w:basedOn w:val="Normal"/>
    <w:next w:val="Normal"/>
    <w:qFormat/>
    <w:rsid w:val="000D1EBA"/>
    <w:pPr>
      <w:numPr>
        <w:ilvl w:val="4"/>
        <w:numId w:val="1"/>
      </w:numPr>
      <w:spacing w:before="240" w:after="60"/>
      <w:outlineLvl w:val="4"/>
    </w:pPr>
    <w:rPr>
      <w:b/>
      <w:bCs/>
      <w:i/>
      <w:iCs/>
      <w:sz w:val="26"/>
      <w:szCs w:val="26"/>
    </w:rPr>
  </w:style>
  <w:style w:type="paragraph" w:styleId="Heading6">
    <w:name w:val="heading 6"/>
    <w:basedOn w:val="Normal"/>
    <w:next w:val="Normal"/>
    <w:qFormat/>
    <w:rsid w:val="000D1EB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0D1EBA"/>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0D1EBA"/>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0D1E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E4F37"/>
    <w:rPr>
      <w:sz w:val="16"/>
      <w:szCs w:val="16"/>
    </w:rPr>
  </w:style>
  <w:style w:type="paragraph" w:styleId="CommentText">
    <w:name w:val="annotation text"/>
    <w:basedOn w:val="Normal"/>
    <w:link w:val="CommentTextChar"/>
    <w:semiHidden/>
    <w:rsid w:val="006E4F37"/>
    <w:rPr>
      <w:rFonts w:ascii="Times New Roman" w:eastAsia="Times New Roman" w:hAnsi="Times New Roman"/>
      <w:sz w:val="20"/>
      <w:szCs w:val="20"/>
    </w:rPr>
  </w:style>
  <w:style w:type="character" w:customStyle="1" w:styleId="CommentTextChar">
    <w:name w:val="Comment Text Char"/>
    <w:link w:val="CommentText"/>
    <w:semiHidden/>
    <w:rsid w:val="006E4F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4F37"/>
    <w:rPr>
      <w:rFonts w:ascii="Lucida Grande" w:hAnsi="Lucida Grande"/>
      <w:sz w:val="18"/>
      <w:szCs w:val="18"/>
    </w:rPr>
  </w:style>
  <w:style w:type="character" w:customStyle="1" w:styleId="BalloonTextChar">
    <w:name w:val="Balloon Text Char"/>
    <w:link w:val="BalloonText"/>
    <w:uiPriority w:val="99"/>
    <w:semiHidden/>
    <w:rsid w:val="006E4F37"/>
    <w:rPr>
      <w:rFonts w:ascii="Lucida Grande" w:hAnsi="Lucida Grande"/>
      <w:sz w:val="18"/>
      <w:szCs w:val="18"/>
    </w:rPr>
  </w:style>
  <w:style w:type="paragraph" w:styleId="ListParagraph">
    <w:name w:val="List Paragraph"/>
    <w:aliases w:val="Use Case List Paragraph,List Paragraph1,Body Bullet,Ref,List Paragraph Char Char,Figure_name,Bulleted Text,B1,bu1,bu1 + Before:  0 pt,After:  6 pt,List bullet,List Paragraph 1,List Bullet1,lp1,d_bodyb,Bullet List,Heading2,b1,Equipment,b2"/>
    <w:basedOn w:val="Normal"/>
    <w:link w:val="ListParagraphChar"/>
    <w:uiPriority w:val="34"/>
    <w:qFormat/>
    <w:rsid w:val="006E4F37"/>
    <w:pPr>
      <w:ind w:left="720"/>
      <w:contextualSpacing/>
    </w:pPr>
  </w:style>
  <w:style w:type="character" w:styleId="Hyperlink">
    <w:name w:val="Hyperlink"/>
    <w:uiPriority w:val="99"/>
    <w:rsid w:val="00FA7F40"/>
    <w:rPr>
      <w:color w:val="0000FF"/>
      <w:u w:val="single"/>
    </w:rPr>
  </w:style>
  <w:style w:type="paragraph" w:styleId="CommentSubject">
    <w:name w:val="annotation subject"/>
    <w:basedOn w:val="CommentText"/>
    <w:next w:val="CommentText"/>
    <w:link w:val="CommentSubjectChar"/>
    <w:rsid w:val="002715F8"/>
    <w:rPr>
      <w:rFonts w:ascii="Cambria" w:eastAsia="Cambria" w:hAnsi="Cambria"/>
      <w:b/>
      <w:bCs/>
    </w:rPr>
  </w:style>
  <w:style w:type="character" w:customStyle="1" w:styleId="CommentSubjectChar">
    <w:name w:val="Comment Subject Char"/>
    <w:link w:val="CommentSubject"/>
    <w:rsid w:val="002715F8"/>
    <w:rPr>
      <w:rFonts w:ascii="Times New Roman" w:eastAsia="Times New Roman" w:hAnsi="Times New Roman" w:cs="Times New Roman"/>
      <w:b/>
      <w:bCs/>
      <w:sz w:val="20"/>
      <w:szCs w:val="20"/>
    </w:rPr>
  </w:style>
  <w:style w:type="character" w:styleId="FollowedHyperlink">
    <w:name w:val="FollowedHyperlink"/>
    <w:rsid w:val="00BA3D42"/>
    <w:rPr>
      <w:color w:val="800080"/>
      <w:u w:val="single"/>
    </w:rPr>
  </w:style>
  <w:style w:type="paragraph" w:styleId="Header">
    <w:name w:val="header"/>
    <w:basedOn w:val="Normal"/>
    <w:rsid w:val="00017591"/>
    <w:pPr>
      <w:tabs>
        <w:tab w:val="center" w:pos="4320"/>
        <w:tab w:val="right" w:pos="8640"/>
      </w:tabs>
    </w:pPr>
  </w:style>
  <w:style w:type="paragraph" w:styleId="Footer">
    <w:name w:val="footer"/>
    <w:basedOn w:val="Normal"/>
    <w:link w:val="FooterChar"/>
    <w:uiPriority w:val="99"/>
    <w:rsid w:val="00017591"/>
    <w:pPr>
      <w:tabs>
        <w:tab w:val="center" w:pos="4320"/>
        <w:tab w:val="right" w:pos="8640"/>
      </w:tabs>
    </w:pPr>
  </w:style>
  <w:style w:type="paragraph" w:styleId="NoSpacing">
    <w:name w:val="No Spacing"/>
    <w:qFormat/>
    <w:rsid w:val="007A60A2"/>
    <w:rPr>
      <w:rFonts w:ascii="Calibri" w:eastAsia="Times New Roman" w:hAnsi="Calibri"/>
      <w:sz w:val="22"/>
      <w:szCs w:val="22"/>
    </w:rPr>
  </w:style>
  <w:style w:type="character" w:styleId="PageNumber">
    <w:name w:val="page number"/>
    <w:basedOn w:val="DefaultParagraphFont"/>
    <w:rsid w:val="007F3AA7"/>
  </w:style>
  <w:style w:type="paragraph" w:styleId="TOC1">
    <w:name w:val="toc 1"/>
    <w:basedOn w:val="Normal"/>
    <w:next w:val="Normal"/>
    <w:autoRedefine/>
    <w:uiPriority w:val="39"/>
    <w:qFormat/>
    <w:rsid w:val="00FA7F40"/>
    <w:pPr>
      <w:tabs>
        <w:tab w:val="left" w:pos="480"/>
        <w:tab w:val="left" w:pos="3061"/>
        <w:tab w:val="right" w:leader="dot" w:pos="9360"/>
      </w:tabs>
      <w:spacing w:before="120" w:after="120"/>
    </w:pPr>
    <w:rPr>
      <w:rFonts w:ascii="Times New Roman" w:hAnsi="Times New Roman"/>
      <w:b/>
      <w:bCs/>
      <w:noProof/>
      <w:sz w:val="20"/>
      <w:szCs w:val="20"/>
    </w:rPr>
  </w:style>
  <w:style w:type="paragraph" w:styleId="TOC2">
    <w:name w:val="toc 2"/>
    <w:basedOn w:val="Normal"/>
    <w:next w:val="Normal"/>
    <w:autoRedefine/>
    <w:uiPriority w:val="39"/>
    <w:qFormat/>
    <w:rsid w:val="004738D4"/>
    <w:pPr>
      <w:ind w:left="240"/>
    </w:pPr>
    <w:rPr>
      <w:rFonts w:ascii="Times New Roman" w:hAnsi="Times New Roman"/>
      <w:smallCaps/>
      <w:sz w:val="20"/>
      <w:szCs w:val="20"/>
    </w:rPr>
  </w:style>
  <w:style w:type="paragraph" w:styleId="TOC3">
    <w:name w:val="toc 3"/>
    <w:basedOn w:val="Normal"/>
    <w:next w:val="Normal"/>
    <w:autoRedefine/>
    <w:uiPriority w:val="39"/>
    <w:qFormat/>
    <w:rsid w:val="00E86CBC"/>
    <w:pPr>
      <w:tabs>
        <w:tab w:val="left" w:pos="1200"/>
        <w:tab w:val="right" w:leader="dot" w:pos="9360"/>
      </w:tabs>
      <w:spacing w:line="360" w:lineRule="auto"/>
      <w:ind w:left="480"/>
    </w:pPr>
    <w:rPr>
      <w:rFonts w:ascii="Times New Roman" w:hAnsi="Times New Roman"/>
      <w:i/>
      <w:iCs/>
      <w:sz w:val="20"/>
      <w:szCs w:val="20"/>
    </w:rPr>
  </w:style>
  <w:style w:type="character" w:customStyle="1" w:styleId="Heading4Char">
    <w:name w:val="Heading 4 Char"/>
    <w:link w:val="Heading4"/>
    <w:rsid w:val="00893BC5"/>
    <w:rPr>
      <w:rFonts w:ascii="Times New Roman" w:hAnsi="Times New Roman"/>
      <w:b/>
      <w:bCs/>
      <w:szCs w:val="28"/>
    </w:rPr>
  </w:style>
  <w:style w:type="paragraph" w:styleId="TOC4">
    <w:name w:val="toc 4"/>
    <w:basedOn w:val="Normal"/>
    <w:next w:val="Normal"/>
    <w:autoRedefine/>
    <w:semiHidden/>
    <w:rsid w:val="008276DC"/>
    <w:pPr>
      <w:ind w:left="720"/>
    </w:pPr>
    <w:rPr>
      <w:rFonts w:ascii="Times New Roman" w:hAnsi="Times New Roman"/>
      <w:sz w:val="18"/>
      <w:szCs w:val="18"/>
    </w:rPr>
  </w:style>
  <w:style w:type="paragraph" w:styleId="TOC5">
    <w:name w:val="toc 5"/>
    <w:basedOn w:val="Normal"/>
    <w:next w:val="Normal"/>
    <w:autoRedefine/>
    <w:semiHidden/>
    <w:rsid w:val="008276DC"/>
    <w:pPr>
      <w:ind w:left="960"/>
    </w:pPr>
    <w:rPr>
      <w:rFonts w:ascii="Times New Roman" w:hAnsi="Times New Roman"/>
      <w:sz w:val="18"/>
      <w:szCs w:val="18"/>
    </w:rPr>
  </w:style>
  <w:style w:type="paragraph" w:styleId="TOC6">
    <w:name w:val="toc 6"/>
    <w:basedOn w:val="Normal"/>
    <w:next w:val="Normal"/>
    <w:autoRedefine/>
    <w:semiHidden/>
    <w:rsid w:val="008276DC"/>
    <w:pPr>
      <w:ind w:left="1200"/>
    </w:pPr>
    <w:rPr>
      <w:rFonts w:ascii="Times New Roman" w:hAnsi="Times New Roman"/>
      <w:sz w:val="18"/>
      <w:szCs w:val="18"/>
    </w:rPr>
  </w:style>
  <w:style w:type="paragraph" w:styleId="TOC7">
    <w:name w:val="toc 7"/>
    <w:basedOn w:val="Normal"/>
    <w:next w:val="Normal"/>
    <w:autoRedefine/>
    <w:semiHidden/>
    <w:rsid w:val="008276DC"/>
    <w:pPr>
      <w:ind w:left="1440"/>
    </w:pPr>
    <w:rPr>
      <w:rFonts w:ascii="Times New Roman" w:hAnsi="Times New Roman"/>
      <w:sz w:val="18"/>
      <w:szCs w:val="18"/>
    </w:rPr>
  </w:style>
  <w:style w:type="paragraph" w:styleId="TOC8">
    <w:name w:val="toc 8"/>
    <w:basedOn w:val="Normal"/>
    <w:next w:val="Normal"/>
    <w:autoRedefine/>
    <w:semiHidden/>
    <w:rsid w:val="008276DC"/>
    <w:pPr>
      <w:ind w:left="1680"/>
    </w:pPr>
    <w:rPr>
      <w:rFonts w:ascii="Times New Roman" w:hAnsi="Times New Roman"/>
      <w:sz w:val="18"/>
      <w:szCs w:val="18"/>
    </w:rPr>
  </w:style>
  <w:style w:type="paragraph" w:styleId="TOC9">
    <w:name w:val="toc 9"/>
    <w:basedOn w:val="Normal"/>
    <w:next w:val="Normal"/>
    <w:autoRedefine/>
    <w:semiHidden/>
    <w:rsid w:val="008276DC"/>
    <w:pPr>
      <w:ind w:left="1920"/>
    </w:pPr>
    <w:rPr>
      <w:rFonts w:ascii="Times New Roman" w:hAnsi="Times New Roman"/>
      <w:sz w:val="18"/>
      <w:szCs w:val="18"/>
    </w:rPr>
  </w:style>
  <w:style w:type="character" w:styleId="Emphasis">
    <w:name w:val="Emphasis"/>
    <w:qFormat/>
    <w:rsid w:val="008276DC"/>
    <w:rPr>
      <w:i/>
      <w:iCs/>
    </w:rPr>
  </w:style>
  <w:style w:type="paragraph" w:customStyle="1" w:styleId="Style1">
    <w:name w:val="Style1"/>
    <w:basedOn w:val="Heading2"/>
    <w:rsid w:val="009946C6"/>
    <w:pPr>
      <w:ind w:left="1440" w:hanging="1440"/>
    </w:pPr>
  </w:style>
  <w:style w:type="numbering" w:styleId="111111">
    <w:name w:val="Outline List 2"/>
    <w:basedOn w:val="NoList"/>
    <w:rsid w:val="009946C6"/>
    <w:pPr>
      <w:numPr>
        <w:numId w:val="3"/>
      </w:numPr>
    </w:pPr>
  </w:style>
  <w:style w:type="table" w:customStyle="1" w:styleId="TableGrid1">
    <w:name w:val="Table Grid1"/>
    <w:basedOn w:val="TableNormal"/>
    <w:next w:val="TableGrid"/>
    <w:uiPriority w:val="59"/>
    <w:rsid w:val="00B33E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B5D38"/>
    <w:rPr>
      <w:sz w:val="20"/>
      <w:szCs w:val="20"/>
    </w:rPr>
  </w:style>
  <w:style w:type="character" w:customStyle="1" w:styleId="FootnoteTextChar">
    <w:name w:val="Footnote Text Char"/>
    <w:basedOn w:val="DefaultParagraphFont"/>
    <w:link w:val="FootnoteText"/>
    <w:rsid w:val="00BB5D38"/>
  </w:style>
  <w:style w:type="character" w:styleId="FootnoteReference">
    <w:name w:val="footnote reference"/>
    <w:rsid w:val="00BB5D38"/>
    <w:rPr>
      <w:vertAlign w:val="superscript"/>
    </w:rPr>
  </w:style>
  <w:style w:type="character" w:customStyle="1" w:styleId="FooterChar">
    <w:name w:val="Footer Char"/>
    <w:link w:val="Footer"/>
    <w:uiPriority w:val="99"/>
    <w:rsid w:val="007C3173"/>
    <w:rPr>
      <w:sz w:val="24"/>
      <w:szCs w:val="24"/>
    </w:rPr>
  </w:style>
  <w:style w:type="paragraph" w:styleId="Revision">
    <w:name w:val="Revision"/>
    <w:hidden/>
    <w:uiPriority w:val="99"/>
    <w:semiHidden/>
    <w:rsid w:val="0008070E"/>
    <w:rPr>
      <w:sz w:val="24"/>
      <w:szCs w:val="24"/>
    </w:rPr>
  </w:style>
  <w:style w:type="paragraph" w:customStyle="1" w:styleId="AppendixHeading">
    <w:name w:val="Appendix Heading"/>
    <w:basedOn w:val="Heading1"/>
    <w:link w:val="AppendixHeadingChar"/>
    <w:qFormat/>
    <w:rsid w:val="0081028E"/>
    <w:pPr>
      <w:jc w:val="center"/>
    </w:pPr>
    <w:rPr>
      <w:b w:val="0"/>
    </w:rPr>
  </w:style>
  <w:style w:type="paragraph" w:customStyle="1" w:styleId="AppendixSubheading">
    <w:name w:val="Appendix Subheading"/>
    <w:basedOn w:val="Normal"/>
    <w:link w:val="AppendixSubheadingChar"/>
    <w:qFormat/>
    <w:rsid w:val="0081028E"/>
  </w:style>
  <w:style w:type="character" w:customStyle="1" w:styleId="Heading1Char">
    <w:name w:val="Heading 1 Char"/>
    <w:basedOn w:val="DefaultParagraphFont"/>
    <w:link w:val="Heading1"/>
    <w:rsid w:val="006E05C6"/>
    <w:rPr>
      <w:rFonts w:ascii="Arial" w:hAnsi="Arial" w:cs="Arial"/>
      <w:b/>
      <w:bCs/>
      <w:kern w:val="32"/>
      <w:sz w:val="24"/>
      <w:szCs w:val="32"/>
    </w:rPr>
  </w:style>
  <w:style w:type="character" w:customStyle="1" w:styleId="AppendixHeadingChar">
    <w:name w:val="Appendix Heading Char"/>
    <w:basedOn w:val="Heading1Char"/>
    <w:link w:val="AppendixHeading"/>
    <w:rsid w:val="0081028E"/>
    <w:rPr>
      <w:rFonts w:ascii="Arial" w:hAnsi="Arial" w:cs="Arial"/>
      <w:b w:val="0"/>
      <w:bCs/>
      <w:kern w:val="32"/>
      <w:sz w:val="24"/>
      <w:szCs w:val="32"/>
    </w:rPr>
  </w:style>
  <w:style w:type="paragraph" w:styleId="TOCHeading">
    <w:name w:val="TOC Heading"/>
    <w:basedOn w:val="Heading1"/>
    <w:next w:val="Normal"/>
    <w:uiPriority w:val="39"/>
    <w:unhideWhenUsed/>
    <w:qFormat/>
    <w:rsid w:val="00FA7F4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AppendixSubheadingChar">
    <w:name w:val="Appendix Subheading Char"/>
    <w:basedOn w:val="DefaultParagraphFont"/>
    <w:link w:val="AppendixSubheading"/>
    <w:rsid w:val="0081028E"/>
    <w:rPr>
      <w:sz w:val="24"/>
      <w:szCs w:val="24"/>
    </w:rPr>
  </w:style>
  <w:style w:type="character" w:customStyle="1" w:styleId="Heading3Char">
    <w:name w:val="Heading 3 Char"/>
    <w:link w:val="Heading3"/>
    <w:rsid w:val="000815EB"/>
    <w:rPr>
      <w:rFonts w:ascii="Arial" w:hAnsi="Arial" w:cs="Arial"/>
      <w:b/>
      <w:bCs/>
      <w:i/>
      <w:sz w:val="24"/>
      <w:szCs w:val="26"/>
    </w:rPr>
  </w:style>
  <w:style w:type="paragraph" w:styleId="NormalWeb">
    <w:name w:val="Normal (Web)"/>
    <w:basedOn w:val="Normal"/>
    <w:uiPriority w:val="99"/>
    <w:unhideWhenUsed/>
    <w:rsid w:val="00B5780A"/>
    <w:rPr>
      <w:rFonts w:ascii="Times New Roman" w:eastAsia="Times New Roman" w:hAnsi="Times New Roman"/>
    </w:rPr>
  </w:style>
  <w:style w:type="character" w:customStyle="1" w:styleId="ListParagraphChar">
    <w:name w:val="List Paragraph Char"/>
    <w:aliases w:val="Use Case List Paragraph Char,List Paragraph1 Char,Body Bullet Char,Ref Char,List Paragraph Char Char Char,Figure_name Char,Bulleted Text Char,B1 Char,bu1 Char,bu1 + Before:  0 pt Char,After:  6 pt Char,List bullet Char,lp1 Char"/>
    <w:link w:val="ListParagraph"/>
    <w:uiPriority w:val="34"/>
    <w:qFormat/>
    <w:locked/>
    <w:rsid w:val="00432903"/>
    <w:rPr>
      <w:sz w:val="24"/>
      <w:szCs w:val="24"/>
    </w:rPr>
  </w:style>
  <w:style w:type="character" w:customStyle="1" w:styleId="UnresolvedMention">
    <w:name w:val="Unresolved Mention"/>
    <w:basedOn w:val="DefaultParagraphFont"/>
    <w:uiPriority w:val="99"/>
    <w:semiHidden/>
    <w:unhideWhenUsed/>
    <w:rsid w:val="00C83FBB"/>
    <w:rPr>
      <w:color w:val="605E5C"/>
      <w:shd w:val="clear" w:color="auto" w:fill="E1DFDD"/>
    </w:rPr>
  </w:style>
  <w:style w:type="table" w:customStyle="1" w:styleId="TableGrid2">
    <w:name w:val="Table Grid2"/>
    <w:basedOn w:val="TableNormal"/>
    <w:next w:val="TableGrid"/>
    <w:uiPriority w:val="39"/>
    <w:rsid w:val="00FA14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468">
      <w:bodyDiv w:val="1"/>
      <w:marLeft w:val="0"/>
      <w:marRight w:val="0"/>
      <w:marTop w:val="0"/>
      <w:marBottom w:val="0"/>
      <w:divBdr>
        <w:top w:val="none" w:sz="0" w:space="0" w:color="auto"/>
        <w:left w:val="none" w:sz="0" w:space="0" w:color="auto"/>
        <w:bottom w:val="none" w:sz="0" w:space="0" w:color="auto"/>
        <w:right w:val="none" w:sz="0" w:space="0" w:color="auto"/>
      </w:divBdr>
    </w:div>
    <w:div w:id="174072648">
      <w:bodyDiv w:val="1"/>
      <w:marLeft w:val="0"/>
      <w:marRight w:val="0"/>
      <w:marTop w:val="0"/>
      <w:marBottom w:val="0"/>
      <w:divBdr>
        <w:top w:val="none" w:sz="0" w:space="0" w:color="auto"/>
        <w:left w:val="none" w:sz="0" w:space="0" w:color="auto"/>
        <w:bottom w:val="none" w:sz="0" w:space="0" w:color="auto"/>
        <w:right w:val="none" w:sz="0" w:space="0" w:color="auto"/>
      </w:divBdr>
    </w:div>
    <w:div w:id="112180483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94">
          <w:marLeft w:val="0"/>
          <w:marRight w:val="0"/>
          <w:marTop w:val="0"/>
          <w:marBottom w:val="0"/>
          <w:divBdr>
            <w:top w:val="none" w:sz="0" w:space="0" w:color="auto"/>
            <w:left w:val="none" w:sz="0" w:space="0" w:color="auto"/>
            <w:bottom w:val="none" w:sz="0" w:space="0" w:color="auto"/>
            <w:right w:val="none" w:sz="0" w:space="0" w:color="auto"/>
          </w:divBdr>
        </w:div>
      </w:divsChild>
    </w:div>
    <w:div w:id="1973558450">
      <w:bodyDiv w:val="1"/>
      <w:marLeft w:val="0"/>
      <w:marRight w:val="0"/>
      <w:marTop w:val="0"/>
      <w:marBottom w:val="0"/>
      <w:divBdr>
        <w:top w:val="none" w:sz="0" w:space="0" w:color="auto"/>
        <w:left w:val="none" w:sz="0" w:space="0" w:color="auto"/>
        <w:bottom w:val="none" w:sz="0" w:space="0" w:color="auto"/>
        <w:right w:val="none" w:sz="0" w:space="0" w:color="auto"/>
      </w:divBdr>
    </w:div>
    <w:div w:id="2058505507">
      <w:bodyDiv w:val="1"/>
      <w:marLeft w:val="0"/>
      <w:marRight w:val="0"/>
      <w:marTop w:val="0"/>
      <w:marBottom w:val="0"/>
      <w:divBdr>
        <w:top w:val="none" w:sz="0" w:space="0" w:color="auto"/>
        <w:left w:val="none" w:sz="0" w:space="0" w:color="auto"/>
        <w:bottom w:val="none" w:sz="0" w:space="0" w:color="auto"/>
        <w:right w:val="none" w:sz="0" w:space="0" w:color="auto"/>
      </w:divBdr>
      <w:divsChild>
        <w:div w:id="163178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printforhealth.vermont.gov/" TargetMode="External"/><Relationship Id="rId13" Type="http://schemas.openxmlformats.org/officeDocument/2006/relationships/header" Target="header3.xml"/><Relationship Id="rId18" Type="http://schemas.openxmlformats.org/officeDocument/2006/relationships/hyperlink" Target="http://blueprintforhealth.vermont.gov/workgroups_and_committees" TargetMode="External"/><Relationship Id="rId26" Type="http://schemas.openxmlformats.org/officeDocument/2006/relationships/hyperlink" Target="http://www.acog.org/About-ACOG/ACOG-Departments/Annual-Womens-Health-Care/Womens-Preventive-Services-Initiative" TargetMode="External"/><Relationship Id="rId3" Type="http://schemas.openxmlformats.org/officeDocument/2006/relationships/styles" Target="styles.xml"/><Relationship Id="rId21" Type="http://schemas.openxmlformats.org/officeDocument/2006/relationships/hyperlink" Target="https://innovation.cms.gov/initiatives/vermont-all-payer-aco-mode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lueprintforhealth.vermont.gov/implementation-materials" TargetMode="External"/><Relationship Id="rId25" Type="http://schemas.openxmlformats.org/officeDocument/2006/relationships/chart" Target="charts/chart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vha.vermont.gov/budget-legislative" TargetMode="External"/><Relationship Id="rId20" Type="http://schemas.openxmlformats.org/officeDocument/2006/relationships/hyperlink" Target="http://blueprintforhealth.vermont.gov/workgroups_and_committees" TargetMode="External"/><Relationship Id="rId29" Type="http://schemas.openxmlformats.org/officeDocument/2006/relationships/hyperlink" Target="http://www.acog.org/About-ACOG/ACOG-Departments/Annual-Womens-Health-Care/Womens-Preventive-Services-Initi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lueprintforhealth.vermont.gov/sites/bfh/files/documents/Regional%20Coordinator%20Operations%20Manual%20v2.0.pdf"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legislature.vermont.gov/statutes/" TargetMode="External"/><Relationship Id="rId23" Type="http://schemas.openxmlformats.org/officeDocument/2006/relationships/hyperlink" Target="http://www.ncqa.org" TargetMode="External"/><Relationship Id="rId28" Type="http://schemas.openxmlformats.org/officeDocument/2006/relationships/hyperlink" Target="http://www.acog.org/About-ACOG/ACOG-Departments/Annual-Womens-Health-Care/Womens-Preventive-Services-Initiative"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lueprintforhealth.vermont.gov/workgroups_and_committee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lueprintforhealthportal.vermont.gov/" TargetMode="External"/><Relationship Id="rId27" Type="http://schemas.openxmlformats.org/officeDocument/2006/relationships/hyperlink" Target="http://www.acog.org/About-ACOG/ACOG-Departments/Annual-Womens-Health-Care/Womens-Preventive-Services-Initiative" TargetMode="External"/><Relationship Id="rId30" Type="http://schemas.openxmlformats.org/officeDocument/2006/relationships/chart" Target="charts/chart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ssie\public\Program_Initiatives\Blueprint_For_Health\Womens%20Health%20Initiative\Blueprint%20Manual\WHIPChar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272176642255382"/>
          <c:y val="4.0277906438165818E-2"/>
          <c:w val="0.80335370666079331"/>
          <c:h val="0.86571303587051618"/>
        </c:manualLayout>
      </c:layout>
      <c:barChart>
        <c:barDir val="col"/>
        <c:grouping val="stacked"/>
        <c:varyColors val="0"/>
        <c:ser>
          <c:idx val="0"/>
          <c:order val="0"/>
          <c:tx>
            <c:strRef>
              <c:f>'Version 3'!$A$3</c:f>
              <c:strCache>
                <c:ptCount val="1"/>
                <c:pt idx="0">
                  <c:v>NCQA Score</c:v>
                </c:pt>
              </c:strCache>
            </c:strRef>
          </c:tx>
          <c:invertIfNegative val="0"/>
          <c:dLbls>
            <c:dLbl>
              <c:idx val="0"/>
              <c:delete val="1"/>
              <c:extLst xmlns:c16r2="http://schemas.microsoft.com/office/drawing/2015/06/chart">
                <c:ext xmlns:c16="http://schemas.microsoft.com/office/drawing/2014/chart" uri="{C3380CC4-5D6E-409C-BE32-E72D297353CC}">
                  <c16:uniqueId val="{00000000-8EB5-419D-B6B0-418DEEB8DE8E}"/>
                </c:ext>
                <c:ext xmlns:c15="http://schemas.microsoft.com/office/drawing/2012/chart" uri="{CE6537A1-D6FC-4f65-9D91-7224C49458BB}"/>
              </c:extLst>
            </c:dLbl>
            <c:dLbl>
              <c:idx val="1"/>
              <c:tx>
                <c:rich>
                  <a:bodyPr/>
                  <a:lstStyle/>
                  <a:p>
                    <a:pPr>
                      <a:defRPr sz="900"/>
                    </a:pPr>
                    <a:r>
                      <a:rPr lang="en-US" sz="900"/>
                      <a:t>Base</a:t>
                    </a:r>
                    <a:endParaRPr lang="en-US" sz="900" baseline="0"/>
                  </a:p>
                  <a:p>
                    <a:pPr>
                      <a:defRPr sz="900"/>
                    </a:pPr>
                    <a:r>
                      <a:rPr lang="en-US" sz="900" baseline="0"/>
                      <a:t>Payment</a:t>
                    </a:r>
                    <a:br>
                      <a:rPr lang="en-US" sz="900" baseline="0"/>
                    </a:br>
                    <a:endParaRPr lang="en-US" sz="900" baseline="0"/>
                  </a:p>
                  <a:p>
                    <a:pPr>
                      <a:defRPr sz="900"/>
                    </a:pPr>
                    <a:r>
                      <a:rPr lang="en-US" sz="900"/>
                      <a:t>
NCQA 2014 stan</a:t>
                    </a:r>
                  </a:p>
                  <a:p>
                    <a:pPr>
                      <a:defRPr sz="900"/>
                    </a:pPr>
                    <a:endParaRPr lang="en-US" sz="900"/>
                  </a:p>
                  <a:p>
                    <a:pPr>
                      <a:defRPr sz="900"/>
                    </a:pPr>
                    <a:r>
                      <a:rPr lang="en-US" sz="900"/>
                      <a:t>d
a
r
d
s
3.50 </a:t>
                    </a:r>
                    <a:r>
                      <a:rPr lang="en-US" sz="900" baseline="0"/>
                      <a:t>to all eli</a:t>
                    </a:r>
                    <a:endParaRPr lang="en-US" sz="900"/>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8EB5-419D-B6B0-418DEEB8DE8E}"/>
                </c:ext>
                <c:ext xmlns:c15="http://schemas.microsoft.com/office/drawing/2012/chart" uri="{CE6537A1-D6FC-4f65-9D91-7224C49458BB}"/>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PPPM</c:v>
              </c:pt>
            </c:strLit>
          </c:cat>
          <c:val>
            <c:numRef>
              <c:f>'Version 3'!$C$3</c:f>
              <c:numCache>
                <c:formatCode>0.00</c:formatCode>
                <c:ptCount val="1"/>
                <c:pt idx="0">
                  <c:v>3</c:v>
                </c:pt>
              </c:numCache>
            </c:numRef>
          </c:val>
          <c:extLst xmlns:c16r2="http://schemas.microsoft.com/office/drawing/2015/06/chart">
            <c:ext xmlns:c16="http://schemas.microsoft.com/office/drawing/2014/chart" uri="{C3380CC4-5D6E-409C-BE32-E72D297353CC}">
              <c16:uniqueId val="{00000002-8EB5-419D-B6B0-418DEEB8DE8E}"/>
            </c:ext>
          </c:extLst>
        </c:ser>
        <c:ser>
          <c:idx val="1"/>
          <c:order val="1"/>
          <c:tx>
            <c:strRef>
              <c:f>'Version 3'!$A$4</c:f>
              <c:strCache>
                <c:ptCount val="1"/>
                <c:pt idx="0">
                  <c:v>Quality Composite</c:v>
                </c:pt>
              </c:strCache>
            </c:strRef>
          </c:tx>
          <c:spPr>
            <a:solidFill>
              <a:srgbClr val="92D050"/>
            </a:solidFill>
          </c:spPr>
          <c:invertIfNegative val="0"/>
          <c:dLbls>
            <c:dLbl>
              <c:idx val="0"/>
              <c:delete val="1"/>
              <c:extLst xmlns:c16r2="http://schemas.microsoft.com/office/drawing/2015/06/chart">
                <c:ext xmlns:c16="http://schemas.microsoft.com/office/drawing/2014/chart" uri="{C3380CC4-5D6E-409C-BE32-E72D297353CC}">
                  <c16:uniqueId val="{00000003-8EB5-419D-B6B0-418DEEB8DE8E}"/>
                </c:ext>
                <c:ext xmlns:c15="http://schemas.microsoft.com/office/drawing/2012/chart" uri="{CE6537A1-D6FC-4f65-9D91-7224C49458BB}"/>
              </c:extLst>
            </c:dLbl>
            <c:dLbl>
              <c:idx val="1"/>
              <c:tx>
                <c:rich>
                  <a:bodyPr/>
                  <a:lstStyle/>
                  <a:p>
                    <a:r>
                      <a:rPr lang="en-US" sz="1000"/>
                      <a:t>Quality</a:t>
                    </a:r>
                  </a:p>
                  <a:p>
                    <a:r>
                      <a:rPr lang="en-US" sz="1000"/>
                      <a:t>0.75</a:t>
                    </a:r>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8EB5-419D-B6B0-418DEEB8DE8E}"/>
                </c:ext>
                <c:ext xmlns:c15="http://schemas.microsoft.com/office/drawing/2012/chart" uri="{CE6537A1-D6FC-4f65-9D91-7224C49458BB}"/>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PPPM</c:v>
              </c:pt>
            </c:strLit>
          </c:cat>
          <c:val>
            <c:numRef>
              <c:f>'Version 3'!$C$4</c:f>
              <c:numCache>
                <c:formatCode>0.00</c:formatCode>
                <c:ptCount val="1"/>
                <c:pt idx="0">
                  <c:v>0.25</c:v>
                </c:pt>
              </c:numCache>
            </c:numRef>
          </c:val>
          <c:extLst xmlns:c16r2="http://schemas.microsoft.com/office/drawing/2015/06/chart">
            <c:ext xmlns:c16="http://schemas.microsoft.com/office/drawing/2014/chart" uri="{C3380CC4-5D6E-409C-BE32-E72D297353CC}">
              <c16:uniqueId val="{00000005-8EB5-419D-B6B0-418DEEB8DE8E}"/>
            </c:ext>
          </c:extLst>
        </c:ser>
        <c:ser>
          <c:idx val="2"/>
          <c:order val="2"/>
          <c:tx>
            <c:strRef>
              <c:f>'Version 3'!$A$5</c:f>
              <c:strCache>
                <c:ptCount val="1"/>
                <c:pt idx="0">
                  <c:v>Total Utilization</c:v>
                </c:pt>
              </c:strCache>
            </c:strRef>
          </c:tx>
          <c:spPr>
            <a:solidFill>
              <a:srgbClr val="00B0F0"/>
            </a:solidFill>
          </c:spPr>
          <c:invertIfNegative val="0"/>
          <c:dLbls>
            <c:dLbl>
              <c:idx val="0"/>
              <c:delete val="1"/>
              <c:extLst xmlns:c16r2="http://schemas.microsoft.com/office/drawing/2015/06/chart">
                <c:ext xmlns:c16="http://schemas.microsoft.com/office/drawing/2014/chart" uri="{C3380CC4-5D6E-409C-BE32-E72D297353CC}">
                  <c16:uniqueId val="{00000006-8EB5-419D-B6B0-418DEEB8DE8E}"/>
                </c:ext>
                <c:ext xmlns:c15="http://schemas.microsoft.com/office/drawing/2012/chart" uri="{CE6537A1-D6FC-4f65-9D91-7224C49458BB}"/>
              </c:extLst>
            </c:dLbl>
            <c:dLbl>
              <c:idx val="1"/>
              <c:tx>
                <c:rich>
                  <a:bodyPr/>
                  <a:lstStyle/>
                  <a:p>
                    <a:r>
                      <a:rPr lang="en-US" sz="1000"/>
                      <a:t>Utilization</a:t>
                    </a:r>
                  </a:p>
                  <a:p>
                    <a:r>
                      <a:rPr lang="en-US" sz="1000"/>
                      <a:t>0.75</a:t>
                    </a:r>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8EB5-419D-B6B0-418DEEB8DE8E}"/>
                </c:ext>
                <c:ext xmlns:c15="http://schemas.microsoft.com/office/drawing/2012/chart" uri="{CE6537A1-D6FC-4f65-9D91-7224C49458BB}"/>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
              <c:pt idx="0">
                <c:v>PPPM</c:v>
              </c:pt>
            </c:strLit>
          </c:cat>
          <c:val>
            <c:numRef>
              <c:f>'Version 3'!$C$5</c:f>
              <c:numCache>
                <c:formatCode>0.00</c:formatCode>
                <c:ptCount val="1"/>
                <c:pt idx="0">
                  <c:v>0.25</c:v>
                </c:pt>
              </c:numCache>
            </c:numRef>
          </c:val>
          <c:extLst xmlns:c16r2="http://schemas.microsoft.com/office/drawing/2015/06/chart">
            <c:ext xmlns:c16="http://schemas.microsoft.com/office/drawing/2014/chart" uri="{C3380CC4-5D6E-409C-BE32-E72D297353CC}">
              <c16:uniqueId val="{00000008-8EB5-419D-B6B0-418DEEB8DE8E}"/>
            </c:ext>
          </c:extLst>
        </c:ser>
        <c:dLbls>
          <c:showLegendKey val="0"/>
          <c:showVal val="0"/>
          <c:showCatName val="0"/>
          <c:showSerName val="0"/>
          <c:showPercent val="0"/>
          <c:showBubbleSize val="0"/>
        </c:dLbls>
        <c:gapWidth val="150"/>
        <c:overlap val="100"/>
        <c:axId val="561408496"/>
        <c:axId val="561407320"/>
      </c:barChart>
      <c:catAx>
        <c:axId val="561408496"/>
        <c:scaling>
          <c:orientation val="minMax"/>
        </c:scaling>
        <c:delete val="0"/>
        <c:axPos val="b"/>
        <c:numFmt formatCode="General" sourceLinked="1"/>
        <c:majorTickMark val="out"/>
        <c:minorTickMark val="none"/>
        <c:tickLblPos val="nextTo"/>
        <c:txPr>
          <a:bodyPr/>
          <a:lstStyle/>
          <a:p>
            <a:pPr>
              <a:defRPr b="1"/>
            </a:pPr>
            <a:endParaRPr lang="en-US"/>
          </a:p>
        </c:txPr>
        <c:crossAx val="561407320"/>
        <c:crosses val="autoZero"/>
        <c:auto val="1"/>
        <c:lblAlgn val="ctr"/>
        <c:lblOffset val="100"/>
        <c:noMultiLvlLbl val="0"/>
      </c:catAx>
      <c:valAx>
        <c:axId val="561407320"/>
        <c:scaling>
          <c:orientation val="minMax"/>
          <c:max val="4"/>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$PPPM</a:t>
                </a:r>
              </a:p>
            </c:rich>
          </c:tx>
          <c:layout>
            <c:manualLayout>
              <c:xMode val="edge"/>
              <c:yMode val="edge"/>
              <c:x val="6.5248298145998678E-3"/>
              <c:y val="0.38389813254551675"/>
            </c:manualLayout>
          </c:layout>
          <c:overlay val="0"/>
        </c:title>
        <c:numFmt formatCode="0.00" sourceLinked="1"/>
        <c:majorTickMark val="out"/>
        <c:minorTickMark val="none"/>
        <c:tickLblPos val="nextTo"/>
        <c:crossAx val="561408496"/>
        <c:crosses val="autoZero"/>
        <c:crossBetween val="between"/>
      </c:valAx>
    </c:plotArea>
    <c:plotVisOnly val="1"/>
    <c:dispBlanksAs val="gap"/>
    <c:showDLblsOverMax val="0"/>
  </c:chart>
  <c:spPr>
    <a:ln>
      <a:noFill/>
    </a:ln>
  </c:spPr>
  <c:txPr>
    <a:bodyPr/>
    <a:lstStyle/>
    <a:p>
      <a:pPr>
        <a:defRPr sz="12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Women's</a:t>
            </a:r>
            <a:r>
              <a:rPr lang="en-US" baseline="0"/>
              <a:t> Health Initiative Practice Payments</a:t>
            </a:r>
            <a:endParaRPr lang="en-US"/>
          </a:p>
        </c:rich>
      </c:tx>
      <c:layout>
        <c:manualLayout>
          <c:xMode val="edge"/>
          <c:yMode val="edge"/>
          <c:x val="0.1945890410958904"/>
          <c:y val="0"/>
        </c:manualLayout>
      </c:layout>
      <c:overlay val="0"/>
    </c:title>
    <c:autoTitleDeleted val="0"/>
    <c:plotArea>
      <c:layout>
        <c:manualLayout>
          <c:layoutTarget val="inner"/>
          <c:xMode val="edge"/>
          <c:yMode val="edge"/>
          <c:x val="0.12395158689936597"/>
          <c:y val="5.5912095416238788E-2"/>
          <c:w val="0.80335370666079331"/>
          <c:h val="0.88623848241917746"/>
        </c:manualLayout>
      </c:layout>
      <c:barChart>
        <c:barDir val="col"/>
        <c:grouping val="stacked"/>
        <c:varyColors val="0"/>
        <c:ser>
          <c:idx val="0"/>
          <c:order val="0"/>
          <c:tx>
            <c:strRef>
              <c:f>Sheet1!$K$2</c:f>
              <c:strCache>
                <c:ptCount val="1"/>
                <c:pt idx="0">
                  <c:v>Base Payment</c:v>
                </c:pt>
              </c:strCache>
            </c:strRef>
          </c:tx>
          <c:spPr>
            <a:solidFill>
              <a:srgbClr val="5B9BD5">
                <a:lumMod val="50000"/>
              </a:srgbClr>
            </a:solidFill>
          </c:spPr>
          <c:invertIfNegative val="0"/>
          <c:cat>
            <c:strRef>
              <c:f>Sheet1!$L$1:$N$1</c:f>
              <c:strCache>
                <c:ptCount val="2"/>
                <c:pt idx="0">
                  <c:v>Year 1</c:v>
                </c:pt>
                <c:pt idx="1">
                  <c:v>Subsequent Years</c:v>
                </c:pt>
              </c:strCache>
            </c:strRef>
          </c:cat>
          <c:val>
            <c:numRef>
              <c:f>Sheet1!$L$2:$M$2</c:f>
              <c:numCache>
                <c:formatCode>General</c:formatCode>
                <c:ptCount val="2"/>
                <c:pt idx="0">
                  <c:v>1.25</c:v>
                </c:pt>
                <c:pt idx="1">
                  <c:v>1</c:v>
                </c:pt>
              </c:numCache>
            </c:numRef>
          </c:val>
          <c:extLst xmlns:c16r2="http://schemas.microsoft.com/office/drawing/2015/06/chart">
            <c:ext xmlns:c16="http://schemas.microsoft.com/office/drawing/2014/chart" uri="{C3380CC4-5D6E-409C-BE32-E72D297353CC}">
              <c16:uniqueId val="{00000000-F731-47E3-B34C-14C53D65A09F}"/>
            </c:ext>
          </c:extLst>
        </c:ser>
        <c:ser>
          <c:idx val="1"/>
          <c:order val="1"/>
          <c:tx>
            <c:strRef>
              <c:f>Sheet1!$K$3</c:f>
              <c:strCache>
                <c:ptCount val="1"/>
                <c:pt idx="0">
                  <c:v>Quality Index</c:v>
                </c:pt>
              </c:strCache>
            </c:strRef>
          </c:tx>
          <c:spPr>
            <a:solidFill>
              <a:srgbClr val="70AD47"/>
            </a:solidFill>
          </c:spPr>
          <c:invertIfNegative val="0"/>
          <c:cat>
            <c:strRef>
              <c:f>Sheet1!$L$1:$N$1</c:f>
              <c:strCache>
                <c:ptCount val="2"/>
                <c:pt idx="0">
                  <c:v>Year 1</c:v>
                </c:pt>
                <c:pt idx="1">
                  <c:v>Subsequent Years</c:v>
                </c:pt>
              </c:strCache>
            </c:strRef>
          </c:cat>
          <c:val>
            <c:numRef>
              <c:f>Sheet1!$L$3:$M$3</c:f>
              <c:numCache>
                <c:formatCode>General</c:formatCode>
                <c:ptCount val="2"/>
                <c:pt idx="1">
                  <c:v>0.5</c:v>
                </c:pt>
              </c:numCache>
            </c:numRef>
          </c:val>
          <c:extLst xmlns:c16r2="http://schemas.microsoft.com/office/drawing/2015/06/chart">
            <c:ext xmlns:c16="http://schemas.microsoft.com/office/drawing/2014/chart" uri="{C3380CC4-5D6E-409C-BE32-E72D297353CC}">
              <c16:uniqueId val="{00000001-F731-47E3-B34C-14C53D65A09F}"/>
            </c:ext>
          </c:extLst>
        </c:ser>
        <c:ser>
          <c:idx val="2"/>
          <c:order val="2"/>
          <c:tx>
            <c:strRef>
              <c:f>Sheet1!$K$4</c:f>
              <c:strCache>
                <c:ptCount val="1"/>
              </c:strCache>
            </c:strRef>
          </c:tx>
          <c:spPr>
            <a:solidFill>
              <a:srgbClr val="5B9BD5"/>
            </a:solidFill>
          </c:spPr>
          <c:invertIfNegative val="0"/>
          <c:cat>
            <c:strRef>
              <c:f>Sheet1!$L$1:$N$1</c:f>
              <c:strCache>
                <c:ptCount val="2"/>
                <c:pt idx="0">
                  <c:v>Year 1</c:v>
                </c:pt>
                <c:pt idx="1">
                  <c:v>Subsequent Years</c:v>
                </c:pt>
              </c:strCache>
            </c:strRef>
          </c:cat>
          <c:val>
            <c:numRef>
              <c:f>Sheet1!$L$4:$M$4</c:f>
              <c:numCache>
                <c:formatCode>General</c:formatCode>
                <c:ptCount val="2"/>
              </c:numCache>
            </c:numRef>
          </c:val>
          <c:extLst xmlns:c16r2="http://schemas.microsoft.com/office/drawing/2015/06/chart">
            <c:ext xmlns:c16="http://schemas.microsoft.com/office/drawing/2014/chart" uri="{C3380CC4-5D6E-409C-BE32-E72D297353CC}">
              <c16:uniqueId val="{00000002-F731-47E3-B34C-14C53D65A09F}"/>
            </c:ext>
          </c:extLst>
        </c:ser>
        <c:dLbls>
          <c:showLegendKey val="0"/>
          <c:showVal val="0"/>
          <c:showCatName val="0"/>
          <c:showSerName val="0"/>
          <c:showPercent val="0"/>
          <c:showBubbleSize val="0"/>
        </c:dLbls>
        <c:gapWidth val="150"/>
        <c:overlap val="100"/>
        <c:axId val="561408104"/>
        <c:axId val="446949784"/>
      </c:barChart>
      <c:catAx>
        <c:axId val="561408104"/>
        <c:scaling>
          <c:orientation val="minMax"/>
        </c:scaling>
        <c:delete val="0"/>
        <c:axPos val="b"/>
        <c:numFmt formatCode="General" sourceLinked="0"/>
        <c:majorTickMark val="out"/>
        <c:minorTickMark val="none"/>
        <c:tickLblPos val="nextTo"/>
        <c:txPr>
          <a:bodyPr/>
          <a:lstStyle/>
          <a:p>
            <a:pPr>
              <a:defRPr b="1"/>
            </a:pPr>
            <a:endParaRPr lang="en-US"/>
          </a:p>
        </c:txPr>
        <c:crossAx val="446949784"/>
        <c:crosses val="autoZero"/>
        <c:auto val="1"/>
        <c:lblAlgn val="ctr"/>
        <c:lblOffset val="100"/>
        <c:noMultiLvlLbl val="0"/>
      </c:catAx>
      <c:valAx>
        <c:axId val="446949784"/>
        <c:scaling>
          <c:orientation val="minMax"/>
          <c:max val="2"/>
        </c:scaling>
        <c:delete val="0"/>
        <c:axPos val="l"/>
        <c:majorGridlines/>
        <c:title>
          <c:tx>
            <c:rich>
              <a:bodyPr/>
              <a:lstStyle/>
              <a:p>
                <a:pPr>
                  <a:defRPr/>
                </a:pPr>
                <a:r>
                  <a:rPr lang="en-US"/>
                  <a:t>$PPPM</a:t>
                </a:r>
              </a:p>
            </c:rich>
          </c:tx>
          <c:overlay val="0"/>
        </c:title>
        <c:numFmt formatCode="General" sourceLinked="1"/>
        <c:majorTickMark val="out"/>
        <c:minorTickMark val="none"/>
        <c:tickLblPos val="nextTo"/>
        <c:crossAx val="561408104"/>
        <c:crosses val="autoZero"/>
        <c:crossBetween val="between"/>
        <c:majorUnit val="0.25"/>
      </c:valAx>
    </c:plotArea>
    <c:plotVisOnly val="1"/>
    <c:dispBlanksAs val="gap"/>
    <c:showDLblsOverMax val="0"/>
  </c:chart>
  <c:spPr>
    <a:ln>
      <a:noFill/>
    </a:ln>
  </c:spPr>
  <c:txPr>
    <a:bodyPr/>
    <a:lstStyle/>
    <a:p>
      <a:pPr>
        <a:defRPr sz="12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0.46177</cdr:x>
      <cdr:y>0.12703</cdr:y>
    </cdr:from>
    <cdr:to>
      <cdr:x>0.66303</cdr:x>
      <cdr:y>0.21299</cdr:y>
    </cdr:to>
    <cdr:sp macro="" textlink="">
      <cdr:nvSpPr>
        <cdr:cNvPr id="2" name="TextBox 1"/>
        <cdr:cNvSpPr txBox="1"/>
      </cdr:nvSpPr>
      <cdr:spPr>
        <a:xfrm xmlns:a="http://schemas.openxmlformats.org/drawingml/2006/main">
          <a:off x="1886880" y="364193"/>
          <a:ext cx="822393" cy="24644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900"/>
            <a:t>Utilization</a:t>
          </a:r>
          <a:r>
            <a:rPr lang="en-US" sz="900" baseline="0"/>
            <a:t> </a:t>
          </a:r>
          <a:r>
            <a:rPr lang="en-US" sz="900"/>
            <a:t>0.25</a:t>
          </a:r>
        </a:p>
      </cdr:txBody>
    </cdr:sp>
  </cdr:relSizeAnchor>
  <cdr:relSizeAnchor xmlns:cdr="http://schemas.openxmlformats.org/drawingml/2006/chartDrawing">
    <cdr:from>
      <cdr:x>0.45688</cdr:x>
      <cdr:y>0.18647</cdr:y>
    </cdr:from>
    <cdr:to>
      <cdr:x>0.67468</cdr:x>
      <cdr:y>0.27841</cdr:y>
    </cdr:to>
    <cdr:sp macro="" textlink="">
      <cdr:nvSpPr>
        <cdr:cNvPr id="3" name="TextBox 2"/>
        <cdr:cNvSpPr txBox="1"/>
      </cdr:nvSpPr>
      <cdr:spPr>
        <a:xfrm xmlns:a="http://schemas.openxmlformats.org/drawingml/2006/main">
          <a:off x="1866919" y="534601"/>
          <a:ext cx="889979" cy="263594"/>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900"/>
            <a:t>Quality 0.25</a:t>
          </a:r>
        </a:p>
      </cdr:txBody>
    </cdr:sp>
  </cdr:relSizeAnchor>
  <cdr:relSizeAnchor xmlns:cdr="http://schemas.openxmlformats.org/drawingml/2006/chartDrawing">
    <cdr:from>
      <cdr:x>0.45041</cdr:x>
      <cdr:y>0.33299</cdr:y>
    </cdr:from>
    <cdr:to>
      <cdr:x>0.70129</cdr:x>
      <cdr:y>0.78335</cdr:y>
    </cdr:to>
    <cdr:sp macro="" textlink="">
      <cdr:nvSpPr>
        <cdr:cNvPr id="4" name="TextBox 3"/>
        <cdr:cNvSpPr txBox="1"/>
      </cdr:nvSpPr>
      <cdr:spPr>
        <a:xfrm xmlns:a="http://schemas.openxmlformats.org/drawingml/2006/main">
          <a:off x="1840460" y="954697"/>
          <a:ext cx="1025152" cy="1291193"/>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n-US" sz="900"/>
            <a:t>Base Payment</a:t>
          </a:r>
        </a:p>
        <a:p xmlns:a="http://schemas.openxmlformats.org/drawingml/2006/main">
          <a:pPr algn="ctr"/>
          <a:endParaRPr lang="en-US" sz="900" baseline="0"/>
        </a:p>
        <a:p xmlns:a="http://schemas.openxmlformats.org/drawingml/2006/main">
          <a:pPr algn="ctr"/>
          <a:r>
            <a:rPr lang="en-US" sz="900" baseline="0"/>
            <a:t>NCQA 2014  or 2017</a:t>
          </a:r>
        </a:p>
        <a:p xmlns:a="http://schemas.openxmlformats.org/drawingml/2006/main">
          <a:pPr algn="ctr"/>
          <a:r>
            <a:rPr lang="en-US" sz="900" baseline="0"/>
            <a:t>standards</a:t>
          </a:r>
        </a:p>
        <a:p xmlns:a="http://schemas.openxmlformats.org/drawingml/2006/main">
          <a:pPr algn="ctr"/>
          <a:endParaRPr lang="en-US" sz="900" baseline="0"/>
        </a:p>
        <a:p xmlns:a="http://schemas.openxmlformats.org/drawingml/2006/main">
          <a:pPr algn="ctr"/>
          <a:r>
            <a:rPr lang="en-US" sz="900" baseline="0"/>
            <a:t>3.00 to all </a:t>
          </a:r>
        </a:p>
        <a:p xmlns:a="http://schemas.openxmlformats.org/drawingml/2006/main">
          <a:pPr algn="ctr"/>
          <a:r>
            <a:rPr lang="en-US" sz="900" baseline="0"/>
            <a:t>eligible </a:t>
          </a:r>
        </a:p>
        <a:p xmlns:a="http://schemas.openxmlformats.org/drawingml/2006/main">
          <a:pPr algn="ctr"/>
          <a:r>
            <a:rPr lang="en-US" sz="900" baseline="0"/>
            <a:t>practices</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0.63636</cdr:x>
      <cdr:y>0.27565</cdr:y>
    </cdr:from>
    <cdr:to>
      <cdr:x>0.81987</cdr:x>
      <cdr:y>0.50101</cdr:y>
    </cdr:to>
    <cdr:sp macro="" textlink="">
      <cdr:nvSpPr>
        <cdr:cNvPr id="2" name="TextBox 1">
          <a:extLst xmlns:a="http://schemas.openxmlformats.org/drawingml/2006/main">
            <a:ext uri="{FF2B5EF4-FFF2-40B4-BE49-F238E27FC236}">
              <a16:creationId xmlns="" xmlns:a16="http://schemas.microsoft.com/office/drawing/2014/main" id="{976DCF6D-CD05-4A40-BE9C-650B42103F84}"/>
            </a:ext>
          </a:extLst>
        </cdr:cNvPr>
        <cdr:cNvSpPr txBox="1"/>
      </cdr:nvSpPr>
      <cdr:spPr>
        <a:xfrm xmlns:a="http://schemas.openxmlformats.org/drawingml/2006/main">
          <a:off x="3600450" y="1304924"/>
          <a:ext cx="1038224" cy="106681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1400"/>
            <a:t>Quality &amp; Utilization</a:t>
          </a:r>
        </a:p>
      </cdr:txBody>
    </cdr:sp>
  </cdr:relSizeAnchor>
  <cdr:relSizeAnchor xmlns:cdr="http://schemas.openxmlformats.org/drawingml/2006/chartDrawing">
    <cdr:from>
      <cdr:x>0.633</cdr:x>
      <cdr:y>0.54527</cdr:y>
    </cdr:from>
    <cdr:to>
      <cdr:x>0.82155</cdr:x>
      <cdr:y>0.89336</cdr:y>
    </cdr:to>
    <cdr:sp macro="" textlink="">
      <cdr:nvSpPr>
        <cdr:cNvPr id="3" name="TextBox 2">
          <a:extLst xmlns:a="http://schemas.openxmlformats.org/drawingml/2006/main">
            <a:ext uri="{FF2B5EF4-FFF2-40B4-BE49-F238E27FC236}">
              <a16:creationId xmlns="" xmlns:a16="http://schemas.microsoft.com/office/drawing/2014/main" id="{AC5B2A03-74D9-4253-8772-813FED4DD73A}"/>
            </a:ext>
          </a:extLst>
        </cdr:cNvPr>
        <cdr:cNvSpPr txBox="1"/>
      </cdr:nvSpPr>
      <cdr:spPr>
        <a:xfrm xmlns:a="http://schemas.openxmlformats.org/drawingml/2006/main">
          <a:off x="3581400" y="2581274"/>
          <a:ext cx="1066800" cy="164782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1200"/>
            <a:t>Base payment to all participating</a:t>
          </a:r>
          <a:r>
            <a:rPr lang="en-US" sz="1200" baseline="0"/>
            <a:t> WHI practices</a:t>
          </a:r>
          <a:endParaRPr lang="en-US" sz="1200"/>
        </a:p>
      </cdr:txBody>
    </cdr:sp>
  </cdr:relSizeAnchor>
  <cdr:relSizeAnchor xmlns:cdr="http://schemas.openxmlformats.org/drawingml/2006/chartDrawing">
    <cdr:from>
      <cdr:x>0.22896</cdr:x>
      <cdr:y>0.55131</cdr:y>
    </cdr:from>
    <cdr:to>
      <cdr:x>0.41751</cdr:x>
      <cdr:y>0.91348</cdr:y>
    </cdr:to>
    <cdr:sp macro="" textlink="">
      <cdr:nvSpPr>
        <cdr:cNvPr id="4" name="TextBox 3">
          <a:extLst xmlns:a="http://schemas.openxmlformats.org/drawingml/2006/main">
            <a:ext uri="{FF2B5EF4-FFF2-40B4-BE49-F238E27FC236}">
              <a16:creationId xmlns="" xmlns:a16="http://schemas.microsoft.com/office/drawing/2014/main" id="{E5EE58C0-4C84-423B-A23A-266B657B8207}"/>
            </a:ext>
          </a:extLst>
        </cdr:cNvPr>
        <cdr:cNvSpPr txBox="1"/>
      </cdr:nvSpPr>
      <cdr:spPr>
        <a:xfrm xmlns:a="http://schemas.openxmlformats.org/drawingml/2006/main">
          <a:off x="1295399" y="2609849"/>
          <a:ext cx="1066800" cy="1714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1200"/>
            <a:t>Base</a:t>
          </a:r>
          <a:r>
            <a:rPr lang="en-US" sz="1200" baseline="0"/>
            <a:t> payment to all participating WHI practices</a:t>
          </a:r>
          <a:endParaRPr lang="en-US" sz="12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ADB3-E120-4769-A4C6-086D718C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23397</Words>
  <Characters>133366</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Manual Outline</vt:lpstr>
    </vt:vector>
  </TitlesOfParts>
  <Company>Vermont State Agency of Human Services</Company>
  <LinksUpToDate>false</LinksUpToDate>
  <CharactersWithSpaces>156451</CharactersWithSpaces>
  <SharedDoc>false</SharedDoc>
  <HLinks>
    <vt:vector size="174" baseType="variant">
      <vt:variant>
        <vt:i4>4653146</vt:i4>
      </vt:variant>
      <vt:variant>
        <vt:i4>141</vt:i4>
      </vt:variant>
      <vt:variant>
        <vt:i4>0</vt:i4>
      </vt:variant>
      <vt:variant>
        <vt:i4>5</vt:i4>
      </vt:variant>
      <vt:variant>
        <vt:lpwstr>http://www.ncqa.org/</vt:lpwstr>
      </vt:variant>
      <vt:variant>
        <vt:lpwstr/>
      </vt:variant>
      <vt:variant>
        <vt:i4>6684775</vt:i4>
      </vt:variant>
      <vt:variant>
        <vt:i4>138</vt:i4>
      </vt:variant>
      <vt:variant>
        <vt:i4>0</vt:i4>
      </vt:variant>
      <vt:variant>
        <vt:i4>5</vt:i4>
      </vt:variant>
      <vt:variant>
        <vt:lpwstr>http://blueprintforhealth.vermont.gov/workgroups_and_committees</vt:lpwstr>
      </vt:variant>
      <vt:variant>
        <vt:lpwstr/>
      </vt:variant>
      <vt:variant>
        <vt:i4>6684775</vt:i4>
      </vt:variant>
      <vt:variant>
        <vt:i4>135</vt:i4>
      </vt:variant>
      <vt:variant>
        <vt:i4>0</vt:i4>
      </vt:variant>
      <vt:variant>
        <vt:i4>5</vt:i4>
      </vt:variant>
      <vt:variant>
        <vt:lpwstr>http://blueprintforhealth.vermont.gov/workgroups_and_committees</vt:lpwstr>
      </vt:variant>
      <vt:variant>
        <vt:lpwstr/>
      </vt:variant>
      <vt:variant>
        <vt:i4>6684775</vt:i4>
      </vt:variant>
      <vt:variant>
        <vt:i4>132</vt:i4>
      </vt:variant>
      <vt:variant>
        <vt:i4>0</vt:i4>
      </vt:variant>
      <vt:variant>
        <vt:i4>5</vt:i4>
      </vt:variant>
      <vt:variant>
        <vt:lpwstr>http://blueprintforhealth.vermont.gov/workgroups_and_committees</vt:lpwstr>
      </vt:variant>
      <vt:variant>
        <vt:lpwstr/>
      </vt:variant>
      <vt:variant>
        <vt:i4>1114171</vt:i4>
      </vt:variant>
      <vt:variant>
        <vt:i4>125</vt:i4>
      </vt:variant>
      <vt:variant>
        <vt:i4>0</vt:i4>
      </vt:variant>
      <vt:variant>
        <vt:i4>5</vt:i4>
      </vt:variant>
      <vt:variant>
        <vt:lpwstr/>
      </vt:variant>
      <vt:variant>
        <vt:lpwstr>_Toc418618694</vt:lpwstr>
      </vt:variant>
      <vt:variant>
        <vt:i4>1114171</vt:i4>
      </vt:variant>
      <vt:variant>
        <vt:i4>119</vt:i4>
      </vt:variant>
      <vt:variant>
        <vt:i4>0</vt:i4>
      </vt:variant>
      <vt:variant>
        <vt:i4>5</vt:i4>
      </vt:variant>
      <vt:variant>
        <vt:lpwstr/>
      </vt:variant>
      <vt:variant>
        <vt:lpwstr>_Toc418618693</vt:lpwstr>
      </vt:variant>
      <vt:variant>
        <vt:i4>1114171</vt:i4>
      </vt:variant>
      <vt:variant>
        <vt:i4>113</vt:i4>
      </vt:variant>
      <vt:variant>
        <vt:i4>0</vt:i4>
      </vt:variant>
      <vt:variant>
        <vt:i4>5</vt:i4>
      </vt:variant>
      <vt:variant>
        <vt:lpwstr/>
      </vt:variant>
      <vt:variant>
        <vt:lpwstr>_Toc418618692</vt:lpwstr>
      </vt:variant>
      <vt:variant>
        <vt:i4>1114171</vt:i4>
      </vt:variant>
      <vt:variant>
        <vt:i4>107</vt:i4>
      </vt:variant>
      <vt:variant>
        <vt:i4>0</vt:i4>
      </vt:variant>
      <vt:variant>
        <vt:i4>5</vt:i4>
      </vt:variant>
      <vt:variant>
        <vt:lpwstr/>
      </vt:variant>
      <vt:variant>
        <vt:lpwstr>_Toc418618691</vt:lpwstr>
      </vt:variant>
      <vt:variant>
        <vt:i4>1114171</vt:i4>
      </vt:variant>
      <vt:variant>
        <vt:i4>101</vt:i4>
      </vt:variant>
      <vt:variant>
        <vt:i4>0</vt:i4>
      </vt:variant>
      <vt:variant>
        <vt:i4>5</vt:i4>
      </vt:variant>
      <vt:variant>
        <vt:lpwstr/>
      </vt:variant>
      <vt:variant>
        <vt:lpwstr>_Toc418618690</vt:lpwstr>
      </vt:variant>
      <vt:variant>
        <vt:i4>1048635</vt:i4>
      </vt:variant>
      <vt:variant>
        <vt:i4>95</vt:i4>
      </vt:variant>
      <vt:variant>
        <vt:i4>0</vt:i4>
      </vt:variant>
      <vt:variant>
        <vt:i4>5</vt:i4>
      </vt:variant>
      <vt:variant>
        <vt:lpwstr/>
      </vt:variant>
      <vt:variant>
        <vt:lpwstr>_Toc418618689</vt:lpwstr>
      </vt:variant>
      <vt:variant>
        <vt:i4>1048635</vt:i4>
      </vt:variant>
      <vt:variant>
        <vt:i4>89</vt:i4>
      </vt:variant>
      <vt:variant>
        <vt:i4>0</vt:i4>
      </vt:variant>
      <vt:variant>
        <vt:i4>5</vt:i4>
      </vt:variant>
      <vt:variant>
        <vt:lpwstr/>
      </vt:variant>
      <vt:variant>
        <vt:lpwstr>_Toc418618688</vt:lpwstr>
      </vt:variant>
      <vt:variant>
        <vt:i4>1048635</vt:i4>
      </vt:variant>
      <vt:variant>
        <vt:i4>83</vt:i4>
      </vt:variant>
      <vt:variant>
        <vt:i4>0</vt:i4>
      </vt:variant>
      <vt:variant>
        <vt:i4>5</vt:i4>
      </vt:variant>
      <vt:variant>
        <vt:lpwstr/>
      </vt:variant>
      <vt:variant>
        <vt:lpwstr>_Toc418618687</vt:lpwstr>
      </vt:variant>
      <vt:variant>
        <vt:i4>1048635</vt:i4>
      </vt:variant>
      <vt:variant>
        <vt:i4>77</vt:i4>
      </vt:variant>
      <vt:variant>
        <vt:i4>0</vt:i4>
      </vt:variant>
      <vt:variant>
        <vt:i4>5</vt:i4>
      </vt:variant>
      <vt:variant>
        <vt:lpwstr/>
      </vt:variant>
      <vt:variant>
        <vt:lpwstr>_Toc418618686</vt:lpwstr>
      </vt:variant>
      <vt:variant>
        <vt:i4>1048635</vt:i4>
      </vt:variant>
      <vt:variant>
        <vt:i4>71</vt:i4>
      </vt:variant>
      <vt:variant>
        <vt:i4>0</vt:i4>
      </vt:variant>
      <vt:variant>
        <vt:i4>5</vt:i4>
      </vt:variant>
      <vt:variant>
        <vt:lpwstr/>
      </vt:variant>
      <vt:variant>
        <vt:lpwstr>_Toc418618685</vt:lpwstr>
      </vt:variant>
      <vt:variant>
        <vt:i4>1048635</vt:i4>
      </vt:variant>
      <vt:variant>
        <vt:i4>65</vt:i4>
      </vt:variant>
      <vt:variant>
        <vt:i4>0</vt:i4>
      </vt:variant>
      <vt:variant>
        <vt:i4>5</vt:i4>
      </vt:variant>
      <vt:variant>
        <vt:lpwstr/>
      </vt:variant>
      <vt:variant>
        <vt:lpwstr>_Toc418618684</vt:lpwstr>
      </vt:variant>
      <vt:variant>
        <vt:i4>1048635</vt:i4>
      </vt:variant>
      <vt:variant>
        <vt:i4>59</vt:i4>
      </vt:variant>
      <vt:variant>
        <vt:i4>0</vt:i4>
      </vt:variant>
      <vt:variant>
        <vt:i4>5</vt:i4>
      </vt:variant>
      <vt:variant>
        <vt:lpwstr/>
      </vt:variant>
      <vt:variant>
        <vt:lpwstr>_Toc418618683</vt:lpwstr>
      </vt:variant>
      <vt:variant>
        <vt:i4>1048635</vt:i4>
      </vt:variant>
      <vt:variant>
        <vt:i4>53</vt:i4>
      </vt:variant>
      <vt:variant>
        <vt:i4>0</vt:i4>
      </vt:variant>
      <vt:variant>
        <vt:i4>5</vt:i4>
      </vt:variant>
      <vt:variant>
        <vt:lpwstr/>
      </vt:variant>
      <vt:variant>
        <vt:lpwstr>_Toc418618682</vt:lpwstr>
      </vt:variant>
      <vt:variant>
        <vt:i4>1048635</vt:i4>
      </vt:variant>
      <vt:variant>
        <vt:i4>47</vt:i4>
      </vt:variant>
      <vt:variant>
        <vt:i4>0</vt:i4>
      </vt:variant>
      <vt:variant>
        <vt:i4>5</vt:i4>
      </vt:variant>
      <vt:variant>
        <vt:lpwstr/>
      </vt:variant>
      <vt:variant>
        <vt:lpwstr>_Toc418618681</vt:lpwstr>
      </vt:variant>
      <vt:variant>
        <vt:i4>1048635</vt:i4>
      </vt:variant>
      <vt:variant>
        <vt:i4>41</vt:i4>
      </vt:variant>
      <vt:variant>
        <vt:i4>0</vt:i4>
      </vt:variant>
      <vt:variant>
        <vt:i4>5</vt:i4>
      </vt:variant>
      <vt:variant>
        <vt:lpwstr/>
      </vt:variant>
      <vt:variant>
        <vt:lpwstr>_Toc418618680</vt:lpwstr>
      </vt:variant>
      <vt:variant>
        <vt:i4>2031675</vt:i4>
      </vt:variant>
      <vt:variant>
        <vt:i4>35</vt:i4>
      </vt:variant>
      <vt:variant>
        <vt:i4>0</vt:i4>
      </vt:variant>
      <vt:variant>
        <vt:i4>5</vt:i4>
      </vt:variant>
      <vt:variant>
        <vt:lpwstr/>
      </vt:variant>
      <vt:variant>
        <vt:lpwstr>_Toc418618679</vt:lpwstr>
      </vt:variant>
      <vt:variant>
        <vt:i4>2031675</vt:i4>
      </vt:variant>
      <vt:variant>
        <vt:i4>29</vt:i4>
      </vt:variant>
      <vt:variant>
        <vt:i4>0</vt:i4>
      </vt:variant>
      <vt:variant>
        <vt:i4>5</vt:i4>
      </vt:variant>
      <vt:variant>
        <vt:lpwstr/>
      </vt:variant>
      <vt:variant>
        <vt:lpwstr>_Toc418618678</vt:lpwstr>
      </vt:variant>
      <vt:variant>
        <vt:i4>2031675</vt:i4>
      </vt:variant>
      <vt:variant>
        <vt:i4>23</vt:i4>
      </vt:variant>
      <vt:variant>
        <vt:i4>0</vt:i4>
      </vt:variant>
      <vt:variant>
        <vt:i4>5</vt:i4>
      </vt:variant>
      <vt:variant>
        <vt:lpwstr/>
      </vt:variant>
      <vt:variant>
        <vt:lpwstr>_Toc418618677</vt:lpwstr>
      </vt:variant>
      <vt:variant>
        <vt:i4>2031675</vt:i4>
      </vt:variant>
      <vt:variant>
        <vt:i4>17</vt:i4>
      </vt:variant>
      <vt:variant>
        <vt:i4>0</vt:i4>
      </vt:variant>
      <vt:variant>
        <vt:i4>5</vt:i4>
      </vt:variant>
      <vt:variant>
        <vt:lpwstr/>
      </vt:variant>
      <vt:variant>
        <vt:lpwstr>_Toc418618676</vt:lpwstr>
      </vt:variant>
      <vt:variant>
        <vt:i4>2031675</vt:i4>
      </vt:variant>
      <vt:variant>
        <vt:i4>11</vt:i4>
      </vt:variant>
      <vt:variant>
        <vt:i4>0</vt:i4>
      </vt:variant>
      <vt:variant>
        <vt:i4>5</vt:i4>
      </vt:variant>
      <vt:variant>
        <vt:lpwstr/>
      </vt:variant>
      <vt:variant>
        <vt:lpwstr>_Toc418618675</vt:lpwstr>
      </vt:variant>
      <vt:variant>
        <vt:i4>2031675</vt:i4>
      </vt:variant>
      <vt:variant>
        <vt:i4>5</vt:i4>
      </vt:variant>
      <vt:variant>
        <vt:i4>0</vt:i4>
      </vt:variant>
      <vt:variant>
        <vt:i4>5</vt:i4>
      </vt:variant>
      <vt:variant>
        <vt:lpwstr/>
      </vt:variant>
      <vt:variant>
        <vt:lpwstr>_Toc418618674</vt:lpwstr>
      </vt:variant>
      <vt:variant>
        <vt:i4>6619239</vt:i4>
      </vt:variant>
      <vt:variant>
        <vt:i4>0</vt:i4>
      </vt:variant>
      <vt:variant>
        <vt:i4>0</vt:i4>
      </vt:variant>
      <vt:variant>
        <vt:i4>5</vt:i4>
      </vt:variant>
      <vt:variant>
        <vt:lpwstr>http://blueprintforhealth.vermont.gov/</vt:lpwstr>
      </vt:variant>
      <vt:variant>
        <vt:lpwstr/>
      </vt:variant>
      <vt:variant>
        <vt:i4>65556</vt:i4>
      </vt:variant>
      <vt:variant>
        <vt:i4>-1</vt:i4>
      </vt:variant>
      <vt:variant>
        <vt:i4>2058</vt:i4>
      </vt:variant>
      <vt:variant>
        <vt:i4>4</vt:i4>
      </vt:variant>
      <vt:variant>
        <vt:lpwstr>http://dvha-intra.ahs.state.vt.us/OVHAUsers/Suellen.Squires/My Documents/coat of arms</vt:lpwstr>
      </vt:variant>
      <vt:variant>
        <vt:lpwstr/>
      </vt:variant>
      <vt:variant>
        <vt:i4>2621487</vt:i4>
      </vt:variant>
      <vt:variant>
        <vt:i4>-1</vt:i4>
      </vt:variant>
      <vt:variant>
        <vt:i4>2058</vt:i4>
      </vt:variant>
      <vt:variant>
        <vt:i4>1</vt:i4>
      </vt:variant>
      <vt:variant>
        <vt:lpwstr>http://www.vermont.gov/webmasters/images/coatgreen3.gif</vt:lpwstr>
      </vt:variant>
      <vt:variant>
        <vt:lpwstr/>
      </vt:variant>
      <vt:variant>
        <vt:i4>2621487</vt:i4>
      </vt:variant>
      <vt:variant>
        <vt:i4>-1</vt:i4>
      </vt:variant>
      <vt:variant>
        <vt:i4>2059</vt:i4>
      </vt:variant>
      <vt:variant>
        <vt:i4>1</vt:i4>
      </vt:variant>
      <vt:variant>
        <vt:lpwstr>http://www.vermont.gov/webmasters/images/coatgreen3.gif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Outline</dc:title>
  <dc:creator>matthew watkins</dc:creator>
  <cp:lastModifiedBy>Maurine Gilbert</cp:lastModifiedBy>
  <cp:revision>2</cp:revision>
  <cp:lastPrinted>2017-11-06T16:34:00Z</cp:lastPrinted>
  <dcterms:created xsi:type="dcterms:W3CDTF">2018-10-01T21:08:00Z</dcterms:created>
  <dcterms:modified xsi:type="dcterms:W3CDTF">2018-10-01T21:08:00Z</dcterms:modified>
</cp:coreProperties>
</file>